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B008C" w14:textId="77777777" w:rsidR="00EA4133" w:rsidRPr="0001060A" w:rsidRDefault="00EA4133">
      <w:pPr>
        <w:pStyle w:val="Title"/>
        <w:spacing w:before="0"/>
        <w:rPr>
          <w:sz w:val="28"/>
          <w:lang w:val="en-CA"/>
        </w:rPr>
      </w:pPr>
      <w:r w:rsidRPr="0001060A">
        <w:rPr>
          <w:sz w:val="28"/>
          <w:lang w:val="en-CA"/>
        </w:rPr>
        <w:t>FORM 9</w:t>
      </w:r>
    </w:p>
    <w:p w14:paraId="78D0C99B"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7CD33BD6"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4EAB7CBF"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6"/>
        <w:gridCol w:w="3014"/>
      </w:tblGrid>
      <w:tr w:rsidR="00840B45" w14:paraId="314EAEDD" w14:textId="77777777" w:rsidTr="00840B45">
        <w:tc>
          <w:tcPr>
            <w:tcW w:w="6487" w:type="dxa"/>
          </w:tcPr>
          <w:p w14:paraId="23DD9CE8" w14:textId="781D510E" w:rsidR="00840B45" w:rsidRDefault="005215BB" w:rsidP="00840B45">
            <w:pPr>
              <w:pStyle w:val="BodyText"/>
              <w:jc w:val="right"/>
              <w:rPr>
                <w:rFonts w:ascii="Arial" w:hAnsi="Arial"/>
                <w:lang w:val="en-CA"/>
              </w:rPr>
            </w:pPr>
            <w:r>
              <w:rPr>
                <w:rFonts w:ascii="Arial" w:hAnsi="Arial"/>
                <w:lang w:val="en-CA"/>
              </w:rPr>
              <w:t xml:space="preserve"> </w:t>
            </w:r>
            <w:r w:rsidRPr="005215BB">
              <w:rPr>
                <w:rFonts w:ascii="Arial" w:hAnsi="Arial"/>
                <w:b/>
                <w:lang w:val="en-CA"/>
              </w:rPr>
              <w:t>Inspiration Energy Corp.</w:t>
            </w:r>
            <w:r>
              <w:rPr>
                <w:rFonts w:ascii="Arial" w:hAnsi="Arial"/>
                <w:lang w:val="en-CA"/>
              </w:rPr>
              <w:t xml:space="preserve"> </w:t>
            </w:r>
            <w:r w:rsidR="00840B45">
              <w:rPr>
                <w:rFonts w:ascii="Arial" w:hAnsi="Arial"/>
                <w:lang w:val="en-CA"/>
              </w:rPr>
              <w:t xml:space="preserve">(the “Issuer”).  </w:t>
            </w:r>
          </w:p>
        </w:tc>
        <w:tc>
          <w:tcPr>
            <w:tcW w:w="3089" w:type="dxa"/>
          </w:tcPr>
          <w:p w14:paraId="07D92AE1" w14:textId="7D12732A" w:rsidR="00840B45" w:rsidRPr="005215BB" w:rsidRDefault="005215BB">
            <w:pPr>
              <w:pStyle w:val="BodyText"/>
              <w:rPr>
                <w:rFonts w:ascii="Arial" w:hAnsi="Arial"/>
                <w:b/>
                <w:lang w:val="en-CA"/>
              </w:rPr>
            </w:pPr>
            <w:r w:rsidRPr="005215BB">
              <w:rPr>
                <w:rFonts w:ascii="Arial" w:hAnsi="Arial"/>
                <w:b/>
                <w:lang w:val="en-CA"/>
              </w:rPr>
              <w:t>ISP</w:t>
            </w:r>
          </w:p>
        </w:tc>
      </w:tr>
      <w:tr w:rsidR="005215BB" w14:paraId="39D4D51E" w14:textId="77777777" w:rsidTr="00840B45">
        <w:tc>
          <w:tcPr>
            <w:tcW w:w="6487" w:type="dxa"/>
          </w:tcPr>
          <w:p w14:paraId="48068002" w14:textId="77777777" w:rsidR="005215BB" w:rsidRDefault="005215BB" w:rsidP="00840B45">
            <w:pPr>
              <w:pStyle w:val="BodyText"/>
              <w:jc w:val="right"/>
              <w:rPr>
                <w:rFonts w:ascii="Arial" w:hAnsi="Arial"/>
                <w:lang w:val="en-CA"/>
              </w:rPr>
            </w:pPr>
          </w:p>
        </w:tc>
        <w:tc>
          <w:tcPr>
            <w:tcW w:w="3089" w:type="dxa"/>
          </w:tcPr>
          <w:p w14:paraId="3C69970E" w14:textId="77777777" w:rsidR="005215BB" w:rsidRPr="005215BB" w:rsidRDefault="005215BB">
            <w:pPr>
              <w:pStyle w:val="BodyText"/>
              <w:rPr>
                <w:rFonts w:ascii="Arial" w:hAnsi="Arial"/>
                <w:b/>
                <w:lang w:val="en-CA"/>
              </w:rPr>
            </w:pPr>
          </w:p>
        </w:tc>
      </w:tr>
    </w:tbl>
    <w:p w14:paraId="329725CF" w14:textId="0D9666EB"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5215BB">
        <w:rPr>
          <w:rFonts w:ascii="Arial" w:hAnsi="Arial"/>
          <w:u w:val="single"/>
          <w:lang w:val="en-CA"/>
        </w:rPr>
        <w:t>April 2</w:t>
      </w:r>
      <w:r w:rsidR="008727BB">
        <w:rPr>
          <w:rFonts w:ascii="Arial" w:hAnsi="Arial"/>
          <w:u w:val="single"/>
          <w:lang w:val="en-CA"/>
        </w:rPr>
        <w:t>6</w:t>
      </w:r>
      <w:r w:rsidR="005215BB">
        <w:rPr>
          <w:rFonts w:ascii="Arial" w:hAnsi="Arial"/>
          <w:u w:val="single"/>
          <w:lang w:val="en-CA"/>
        </w:rPr>
        <w:t xml:space="preserve">, </w:t>
      </w:r>
      <w:proofErr w:type="gramStart"/>
      <w:r w:rsidR="005215BB">
        <w:rPr>
          <w:rFonts w:ascii="Arial" w:hAnsi="Arial"/>
          <w:u w:val="single"/>
          <w:lang w:val="en-CA"/>
        </w:rPr>
        <w:t>2024</w:t>
      </w:r>
      <w:proofErr w:type="gramEnd"/>
      <w:r w:rsidR="005215BB" w:rsidRPr="00BC7276">
        <w:rPr>
          <w:rFonts w:ascii="Arial" w:hAnsi="Arial"/>
          <w:lang w:val="en-CA"/>
        </w:rPr>
        <w:t xml:space="preserve"> </w:t>
      </w: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5215BB">
        <w:rPr>
          <w:rFonts w:ascii="Arial" w:hAnsi="Arial"/>
          <w:lang w:val="en-CA"/>
        </w:rPr>
        <w:t xml:space="preserve">X </w:t>
      </w:r>
      <w:r>
        <w:rPr>
          <w:rFonts w:ascii="Arial" w:hAnsi="Arial"/>
          <w:lang w:val="en-CA"/>
        </w:rPr>
        <w:t>No</w:t>
      </w:r>
      <w:r>
        <w:rPr>
          <w:rFonts w:ascii="Arial" w:hAnsi="Arial"/>
          <w:sz w:val="32"/>
          <w:lang w:val="en-CA"/>
        </w:rPr>
        <w:tab/>
      </w:r>
    </w:p>
    <w:p w14:paraId="6B9241A6"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64ED7A22" w14:textId="4217DECE"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5215BB">
        <w:rPr>
          <w:rFonts w:ascii="Arial" w:hAnsi="Arial"/>
          <w:u w:val="single"/>
          <w:lang w:val="en-CA"/>
        </w:rPr>
        <w:t>43,783,417</w:t>
      </w:r>
      <w:proofErr w:type="gramStart"/>
      <w:r>
        <w:rPr>
          <w:rFonts w:ascii="Arial" w:hAnsi="Arial"/>
          <w:u w:val="single"/>
          <w:lang w:val="en-CA"/>
        </w:rPr>
        <w:tab/>
      </w:r>
      <w:r>
        <w:rPr>
          <w:rFonts w:ascii="Arial" w:hAnsi="Arial"/>
          <w:lang w:val="en-CA"/>
        </w:rPr>
        <w:t xml:space="preserve"> .</w:t>
      </w:r>
      <w:proofErr w:type="gramEnd"/>
    </w:p>
    <w:p w14:paraId="05735BDF"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3598349B" w14:textId="1BCD61E0"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t>__</w:t>
      </w:r>
      <w:r w:rsidR="005215BB">
        <w:rPr>
          <w:rFonts w:ascii="Arial" w:hAnsi="Arial"/>
          <w:u w:val="single"/>
          <w:lang w:val="en-CA"/>
        </w:rPr>
        <w:t>April 23, 2024</w:t>
      </w:r>
      <w:r w:rsidR="00840B45">
        <w:rPr>
          <w:rFonts w:ascii="Arial" w:hAnsi="Arial"/>
          <w:u w:val="single"/>
          <w:lang w:val="en-CA"/>
        </w:rPr>
        <w:t xml:space="preserve">_______  </w:t>
      </w:r>
      <w:r w:rsidR="00840B45">
        <w:rPr>
          <w:rFonts w:ascii="Arial" w:hAnsi="Arial"/>
          <w:lang w:val="en-CA"/>
        </w:rPr>
        <w:t xml:space="preserve"> or</w:t>
      </w:r>
    </w:p>
    <w:p w14:paraId="2B26F9CC"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14:paraId="1149D8A2" w14:textId="462830DD"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5215BB">
        <w:rPr>
          <w:rFonts w:ascii="Arial" w:hAnsi="Arial"/>
          <w:u w:val="single"/>
          <w:lang w:val="en-CA"/>
        </w:rPr>
        <w:t>0.03</w:t>
      </w:r>
      <w:r>
        <w:rPr>
          <w:rFonts w:ascii="Arial" w:hAnsi="Arial"/>
          <w:lang w:val="en-CA"/>
        </w:rPr>
        <w:t>________</w:t>
      </w:r>
      <w:r w:rsidR="00840B45">
        <w:rPr>
          <w:rFonts w:ascii="Arial" w:hAnsi="Arial"/>
          <w:lang w:val="en-CA"/>
        </w:rPr>
        <w:t xml:space="preserve"> or</w:t>
      </w:r>
    </w:p>
    <w:p w14:paraId="59088A4E"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14:paraId="37AEA8CE"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428EB1D7" w14:textId="52D621F2"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5215BB" w:rsidRPr="005215BB">
        <w:rPr>
          <w:rFonts w:ascii="Arial" w:hAnsi="Arial"/>
          <w:u w:val="single"/>
          <w:lang w:val="en-CA"/>
        </w:rPr>
        <w:t>4</w:t>
      </w:r>
      <w:r w:rsidR="005215BB">
        <w:rPr>
          <w:rFonts w:ascii="Arial" w:hAnsi="Arial"/>
          <w:u w:val="single"/>
          <w:lang w:val="en-CA"/>
        </w:rPr>
        <w:t>,330,228 common shares</w:t>
      </w:r>
      <w:r>
        <w:rPr>
          <w:rFonts w:ascii="Arial" w:hAnsi="Arial"/>
          <w:lang w:val="en-CA"/>
        </w:rPr>
        <w:t>___________</w:t>
      </w:r>
    </w:p>
    <w:p w14:paraId="7749581F" w14:textId="0827369C"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5215BB">
        <w:rPr>
          <w:rFonts w:ascii="Arial" w:hAnsi="Arial"/>
          <w:u w:val="single"/>
          <w:lang w:val="en-CA"/>
        </w:rPr>
        <w:t>48,113,645</w:t>
      </w:r>
      <w:r>
        <w:rPr>
          <w:rFonts w:ascii="Arial" w:hAnsi="Arial"/>
          <w:lang w:val="en-CA"/>
        </w:rPr>
        <w:t>________</w:t>
      </w:r>
    </w:p>
    <w:p w14:paraId="53C6A75B" w14:textId="77777777" w:rsidR="00C10A32" w:rsidRDefault="00C10A32" w:rsidP="00C10A32">
      <w:pPr>
        <w:pStyle w:val="BodyText"/>
        <w:tabs>
          <w:tab w:val="left" w:pos="9180"/>
        </w:tabs>
        <w:spacing w:before="0" w:after="120"/>
        <w:rPr>
          <w:rFonts w:ascii="Arial" w:hAnsi="Arial"/>
          <w:b/>
          <w:lang w:val="en-CA"/>
        </w:rPr>
      </w:pPr>
    </w:p>
    <w:p w14:paraId="070F1EE9"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6A2183BE"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22C80B9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6F711AC2"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611C7731"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1C15703D"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7D7F9B0A"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236BC86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78F3849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2603D0C5" w14:textId="77777777" w:rsidTr="0064019D">
        <w:tc>
          <w:tcPr>
            <w:tcW w:w="3652" w:type="dxa"/>
          </w:tcPr>
          <w:p w14:paraId="31333E2C"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15E4EE3C"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0A943BE2"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3C9F689"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479995C8" w14:textId="77777777" w:rsidTr="0064019D">
        <w:tc>
          <w:tcPr>
            <w:tcW w:w="3652" w:type="dxa"/>
          </w:tcPr>
          <w:p w14:paraId="7B6CD7BA" w14:textId="77777777" w:rsidR="00C536D3" w:rsidRPr="00C536D3" w:rsidRDefault="00C536D3" w:rsidP="00C536D3">
            <w:pPr>
              <w:pStyle w:val="BodyText"/>
              <w:rPr>
                <w:rFonts w:ascii="Arial" w:hAnsi="Arial"/>
                <w:lang w:val="en-CA"/>
              </w:rPr>
            </w:pPr>
          </w:p>
        </w:tc>
        <w:tc>
          <w:tcPr>
            <w:tcW w:w="1701" w:type="dxa"/>
          </w:tcPr>
          <w:p w14:paraId="199CE353" w14:textId="77777777" w:rsidR="00C536D3" w:rsidRPr="00C536D3" w:rsidRDefault="00C536D3" w:rsidP="00C536D3">
            <w:pPr>
              <w:pStyle w:val="BodyText"/>
              <w:rPr>
                <w:rFonts w:ascii="Arial" w:hAnsi="Arial"/>
                <w:lang w:val="en-CA"/>
              </w:rPr>
            </w:pPr>
          </w:p>
        </w:tc>
        <w:tc>
          <w:tcPr>
            <w:tcW w:w="1829" w:type="dxa"/>
          </w:tcPr>
          <w:p w14:paraId="32C9983B" w14:textId="77777777" w:rsidR="00C536D3" w:rsidRPr="00C536D3" w:rsidRDefault="00C536D3" w:rsidP="00C536D3">
            <w:pPr>
              <w:pStyle w:val="BodyText"/>
              <w:rPr>
                <w:rFonts w:ascii="Arial" w:hAnsi="Arial"/>
                <w:lang w:val="en-CA"/>
              </w:rPr>
            </w:pPr>
          </w:p>
        </w:tc>
        <w:tc>
          <w:tcPr>
            <w:tcW w:w="2394" w:type="dxa"/>
          </w:tcPr>
          <w:p w14:paraId="7AE1E84C" w14:textId="77777777" w:rsidR="00C536D3" w:rsidRPr="00C536D3" w:rsidRDefault="00C536D3" w:rsidP="00C536D3">
            <w:pPr>
              <w:pStyle w:val="BodyText"/>
              <w:rPr>
                <w:rFonts w:ascii="Arial" w:hAnsi="Arial"/>
                <w:lang w:val="en-CA"/>
              </w:rPr>
            </w:pPr>
          </w:p>
        </w:tc>
      </w:tr>
      <w:tr w:rsidR="00C536D3" w:rsidRPr="00C536D3" w14:paraId="795CC570" w14:textId="77777777" w:rsidTr="0064019D">
        <w:tc>
          <w:tcPr>
            <w:tcW w:w="3652" w:type="dxa"/>
          </w:tcPr>
          <w:p w14:paraId="6A140254" w14:textId="77777777" w:rsidR="00C536D3" w:rsidRPr="00C536D3" w:rsidRDefault="00C536D3" w:rsidP="00C536D3">
            <w:pPr>
              <w:pStyle w:val="BodyText"/>
              <w:rPr>
                <w:rFonts w:ascii="Arial" w:hAnsi="Arial"/>
                <w:lang w:val="en-CA"/>
              </w:rPr>
            </w:pPr>
          </w:p>
        </w:tc>
        <w:tc>
          <w:tcPr>
            <w:tcW w:w="1701" w:type="dxa"/>
          </w:tcPr>
          <w:p w14:paraId="1CAA4734" w14:textId="77777777" w:rsidR="00C536D3" w:rsidRPr="00C536D3" w:rsidRDefault="00C536D3" w:rsidP="00C536D3">
            <w:pPr>
              <w:pStyle w:val="BodyText"/>
              <w:rPr>
                <w:rFonts w:ascii="Arial" w:hAnsi="Arial"/>
                <w:lang w:val="en-CA"/>
              </w:rPr>
            </w:pPr>
          </w:p>
        </w:tc>
        <w:tc>
          <w:tcPr>
            <w:tcW w:w="1829" w:type="dxa"/>
          </w:tcPr>
          <w:p w14:paraId="4B7A64F1" w14:textId="77777777" w:rsidR="00C536D3" w:rsidRPr="00C536D3" w:rsidRDefault="00C536D3" w:rsidP="00C536D3">
            <w:pPr>
              <w:pStyle w:val="BodyText"/>
              <w:rPr>
                <w:rFonts w:ascii="Arial" w:hAnsi="Arial"/>
                <w:lang w:val="en-CA"/>
              </w:rPr>
            </w:pPr>
          </w:p>
        </w:tc>
        <w:tc>
          <w:tcPr>
            <w:tcW w:w="2394" w:type="dxa"/>
          </w:tcPr>
          <w:p w14:paraId="317F3D3B" w14:textId="77777777" w:rsidR="00C536D3" w:rsidRPr="00C536D3" w:rsidRDefault="00C536D3" w:rsidP="00C536D3">
            <w:pPr>
              <w:pStyle w:val="BodyText"/>
              <w:rPr>
                <w:rFonts w:ascii="Arial" w:hAnsi="Arial"/>
                <w:lang w:val="en-CA"/>
              </w:rPr>
            </w:pPr>
          </w:p>
        </w:tc>
      </w:tr>
      <w:tr w:rsidR="00C536D3" w:rsidRPr="00C536D3" w14:paraId="596B31B5" w14:textId="77777777" w:rsidTr="0064019D">
        <w:tc>
          <w:tcPr>
            <w:tcW w:w="3652" w:type="dxa"/>
          </w:tcPr>
          <w:p w14:paraId="770F650D"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24A49E3B" w14:textId="77777777" w:rsidR="00C536D3" w:rsidRPr="00C536D3" w:rsidRDefault="00C536D3" w:rsidP="00C536D3">
            <w:pPr>
              <w:pStyle w:val="BodyText"/>
              <w:rPr>
                <w:rFonts w:ascii="Arial" w:hAnsi="Arial"/>
                <w:lang w:val="en-CA"/>
              </w:rPr>
            </w:pPr>
          </w:p>
        </w:tc>
        <w:tc>
          <w:tcPr>
            <w:tcW w:w="1829" w:type="dxa"/>
          </w:tcPr>
          <w:p w14:paraId="5A5716AC" w14:textId="77777777" w:rsidR="00C536D3" w:rsidRPr="00C536D3" w:rsidRDefault="00C536D3" w:rsidP="00C536D3">
            <w:pPr>
              <w:pStyle w:val="BodyText"/>
              <w:rPr>
                <w:rFonts w:ascii="Arial" w:hAnsi="Arial"/>
                <w:lang w:val="en-CA"/>
              </w:rPr>
            </w:pPr>
          </w:p>
        </w:tc>
        <w:tc>
          <w:tcPr>
            <w:tcW w:w="2394" w:type="dxa"/>
          </w:tcPr>
          <w:p w14:paraId="5A0DAB23" w14:textId="77777777" w:rsidR="00C536D3" w:rsidRPr="00C536D3" w:rsidRDefault="00C536D3" w:rsidP="00C536D3">
            <w:pPr>
              <w:pStyle w:val="BodyText"/>
              <w:rPr>
                <w:rFonts w:ascii="Arial" w:hAnsi="Arial"/>
                <w:lang w:val="en-CA"/>
              </w:rPr>
            </w:pPr>
          </w:p>
        </w:tc>
      </w:tr>
      <w:tr w:rsidR="00C536D3" w:rsidRPr="00C536D3" w14:paraId="4975D18F" w14:textId="77777777" w:rsidTr="0064019D">
        <w:tc>
          <w:tcPr>
            <w:tcW w:w="7182" w:type="dxa"/>
            <w:gridSpan w:val="3"/>
          </w:tcPr>
          <w:p w14:paraId="005EDE59"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5284BDE5" w14:textId="77777777" w:rsidR="00C536D3" w:rsidRPr="00C536D3" w:rsidRDefault="00C536D3" w:rsidP="00C536D3">
            <w:pPr>
              <w:pStyle w:val="BodyText"/>
              <w:rPr>
                <w:rFonts w:ascii="Arial" w:hAnsi="Arial"/>
                <w:lang w:val="en-CA"/>
              </w:rPr>
            </w:pPr>
          </w:p>
        </w:tc>
      </w:tr>
    </w:tbl>
    <w:p w14:paraId="47F53B3B" w14:textId="77777777" w:rsidR="00C536D3" w:rsidRPr="00C536D3" w:rsidRDefault="00C536D3" w:rsidP="00C536D3">
      <w:pPr>
        <w:pStyle w:val="BodyText"/>
        <w:rPr>
          <w:rFonts w:ascii="Arial" w:hAnsi="Arial"/>
          <w:b/>
          <w:u w:val="single"/>
          <w:lang w:val="en-CA"/>
        </w:rPr>
      </w:pPr>
    </w:p>
    <w:p w14:paraId="25EE2FEF"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3DB1B413"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133159F1" w14:textId="77777777">
        <w:trPr>
          <w:trHeight w:val="1965"/>
        </w:trPr>
        <w:tc>
          <w:tcPr>
            <w:tcW w:w="1368" w:type="dxa"/>
          </w:tcPr>
          <w:p w14:paraId="655604FB" w14:textId="77777777" w:rsidR="00EA4133" w:rsidRDefault="00EA4133">
            <w:pPr>
              <w:pStyle w:val="BodyText"/>
              <w:spacing w:before="0" w:line="280" w:lineRule="exact"/>
              <w:jc w:val="center"/>
              <w:rPr>
                <w:rFonts w:ascii="Arial" w:hAnsi="Arial"/>
                <w:b/>
                <w:sz w:val="20"/>
                <w:lang w:val="en-CA"/>
              </w:rPr>
            </w:pPr>
          </w:p>
          <w:p w14:paraId="300A0759"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50" w:type="dxa"/>
          </w:tcPr>
          <w:p w14:paraId="0BC8A5F8" w14:textId="77777777" w:rsidR="00EA4133" w:rsidRDefault="00EA4133">
            <w:pPr>
              <w:pStyle w:val="BodyText"/>
              <w:spacing w:before="0" w:line="280" w:lineRule="exact"/>
              <w:jc w:val="center"/>
              <w:rPr>
                <w:rFonts w:ascii="Arial" w:hAnsi="Arial"/>
                <w:b/>
                <w:sz w:val="20"/>
                <w:lang w:val="en-CA"/>
              </w:rPr>
            </w:pPr>
          </w:p>
          <w:p w14:paraId="2B93DD42"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629BEF5C" w14:textId="77777777" w:rsidR="00EA4133" w:rsidRDefault="00EA4133">
            <w:pPr>
              <w:pStyle w:val="BodyText"/>
              <w:spacing w:before="0" w:line="280" w:lineRule="exact"/>
              <w:jc w:val="center"/>
              <w:rPr>
                <w:rFonts w:ascii="Arial" w:hAnsi="Arial"/>
                <w:b/>
                <w:sz w:val="20"/>
                <w:lang w:val="en-CA"/>
              </w:rPr>
            </w:pPr>
          </w:p>
          <w:p w14:paraId="133A9A1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4A35BC32" w14:textId="77777777" w:rsidR="00EA4133" w:rsidRDefault="00EA4133">
            <w:pPr>
              <w:pStyle w:val="BodyText"/>
              <w:spacing w:before="0" w:line="280" w:lineRule="exact"/>
              <w:jc w:val="center"/>
              <w:rPr>
                <w:rFonts w:ascii="Arial" w:hAnsi="Arial"/>
                <w:b/>
                <w:sz w:val="20"/>
                <w:lang w:val="en-CA"/>
              </w:rPr>
            </w:pPr>
          </w:p>
          <w:p w14:paraId="0A819638"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286CA3D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6AD5F2C6"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CCF9250"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322CCE9F" w14:textId="77777777" w:rsidR="00EA4133" w:rsidRDefault="00EA4133">
            <w:pPr>
              <w:pStyle w:val="BodyText"/>
              <w:spacing w:before="0" w:line="280" w:lineRule="exact"/>
              <w:jc w:val="center"/>
              <w:rPr>
                <w:rFonts w:ascii="Arial" w:hAnsi="Arial"/>
                <w:b/>
                <w:sz w:val="20"/>
                <w:lang w:val="en-CA"/>
              </w:rPr>
            </w:pPr>
          </w:p>
          <w:p w14:paraId="7BFF6F2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1157BFED" w14:textId="77777777" w:rsidR="00C536D3" w:rsidRDefault="00C536D3" w:rsidP="00C536D3">
            <w:pPr>
              <w:pStyle w:val="BodyText"/>
              <w:spacing w:before="0" w:line="280" w:lineRule="exact"/>
              <w:jc w:val="center"/>
              <w:rPr>
                <w:rFonts w:ascii="Arial" w:hAnsi="Arial"/>
                <w:b/>
                <w:sz w:val="20"/>
              </w:rPr>
            </w:pPr>
          </w:p>
          <w:p w14:paraId="6E6AA6B6" w14:textId="77777777"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080" w:type="dxa"/>
          </w:tcPr>
          <w:p w14:paraId="0C8A7620" w14:textId="77777777" w:rsidR="00EA4133" w:rsidRDefault="00EA4133">
            <w:pPr>
              <w:pStyle w:val="BodyText"/>
              <w:spacing w:before="0" w:line="280" w:lineRule="exact"/>
              <w:jc w:val="center"/>
              <w:rPr>
                <w:rFonts w:ascii="Arial" w:hAnsi="Arial"/>
                <w:b/>
                <w:sz w:val="20"/>
                <w:lang w:val="en-CA"/>
              </w:rPr>
            </w:pPr>
          </w:p>
          <w:p w14:paraId="36E2739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080" w:type="dxa"/>
          </w:tcPr>
          <w:p w14:paraId="2878D952" w14:textId="77777777" w:rsidR="00EA4133" w:rsidRDefault="00EA4133">
            <w:pPr>
              <w:pStyle w:val="BodyText"/>
              <w:spacing w:before="0" w:line="280" w:lineRule="exact"/>
              <w:jc w:val="center"/>
              <w:rPr>
                <w:rFonts w:ascii="Arial" w:hAnsi="Arial"/>
                <w:b/>
                <w:color w:val="000000"/>
                <w:sz w:val="20"/>
                <w:lang w:val="en-CA"/>
              </w:rPr>
            </w:pPr>
          </w:p>
          <w:p w14:paraId="3F35EF7D"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90670" w14:paraId="1058C970" w14:textId="77777777">
        <w:trPr>
          <w:trHeight w:val="864"/>
        </w:trPr>
        <w:tc>
          <w:tcPr>
            <w:tcW w:w="1368" w:type="dxa"/>
          </w:tcPr>
          <w:p w14:paraId="6754299F" w14:textId="77777777" w:rsidR="00A90670" w:rsidRPr="00A90670" w:rsidRDefault="00A90670">
            <w:pPr>
              <w:pStyle w:val="BodyText"/>
              <w:spacing w:before="0" w:line="280" w:lineRule="exact"/>
              <w:jc w:val="center"/>
              <w:rPr>
                <w:rFonts w:ascii="Arial" w:hAnsi="Arial"/>
                <w:sz w:val="20"/>
                <w:lang w:val="en-CA"/>
              </w:rPr>
            </w:pPr>
          </w:p>
        </w:tc>
        <w:tc>
          <w:tcPr>
            <w:tcW w:w="1350" w:type="dxa"/>
          </w:tcPr>
          <w:p w14:paraId="22CDA602" w14:textId="77777777" w:rsidR="00A90670" w:rsidRDefault="00A90670">
            <w:pPr>
              <w:pStyle w:val="BodyText"/>
              <w:spacing w:before="0" w:line="280" w:lineRule="exact"/>
              <w:jc w:val="center"/>
              <w:rPr>
                <w:rFonts w:ascii="Arial" w:hAnsi="Arial"/>
                <w:b/>
                <w:sz w:val="20"/>
                <w:lang w:val="en-CA"/>
              </w:rPr>
            </w:pPr>
          </w:p>
        </w:tc>
        <w:tc>
          <w:tcPr>
            <w:tcW w:w="1170" w:type="dxa"/>
          </w:tcPr>
          <w:p w14:paraId="46666E1F" w14:textId="77777777" w:rsidR="00A90670" w:rsidRDefault="00A90670">
            <w:pPr>
              <w:pStyle w:val="BodyText"/>
              <w:spacing w:before="0" w:line="280" w:lineRule="exact"/>
              <w:jc w:val="center"/>
              <w:rPr>
                <w:rFonts w:ascii="Arial" w:hAnsi="Arial"/>
                <w:b/>
                <w:sz w:val="20"/>
                <w:lang w:val="en-CA"/>
              </w:rPr>
            </w:pPr>
          </w:p>
        </w:tc>
        <w:tc>
          <w:tcPr>
            <w:tcW w:w="1350" w:type="dxa"/>
          </w:tcPr>
          <w:p w14:paraId="629B7B78" w14:textId="77777777" w:rsidR="00A90670" w:rsidRDefault="00A90670">
            <w:pPr>
              <w:pStyle w:val="BodyText"/>
              <w:spacing w:before="0" w:line="280" w:lineRule="exact"/>
              <w:jc w:val="center"/>
              <w:rPr>
                <w:rFonts w:ascii="Arial" w:hAnsi="Arial"/>
                <w:b/>
                <w:sz w:val="20"/>
                <w:lang w:val="en-CA"/>
              </w:rPr>
            </w:pPr>
          </w:p>
        </w:tc>
        <w:tc>
          <w:tcPr>
            <w:tcW w:w="1350" w:type="dxa"/>
          </w:tcPr>
          <w:p w14:paraId="01DC8D21" w14:textId="77777777" w:rsidR="00A90670" w:rsidRDefault="00A90670">
            <w:pPr>
              <w:pStyle w:val="BodyText"/>
              <w:spacing w:before="0" w:line="280" w:lineRule="exact"/>
              <w:jc w:val="center"/>
              <w:rPr>
                <w:rFonts w:ascii="Arial" w:hAnsi="Arial"/>
                <w:b/>
                <w:sz w:val="20"/>
                <w:lang w:val="en-CA"/>
              </w:rPr>
            </w:pPr>
          </w:p>
        </w:tc>
        <w:tc>
          <w:tcPr>
            <w:tcW w:w="1710" w:type="dxa"/>
          </w:tcPr>
          <w:p w14:paraId="051ED900" w14:textId="77777777" w:rsidR="00A90670" w:rsidRDefault="00A90670">
            <w:pPr>
              <w:pStyle w:val="BodyText"/>
              <w:spacing w:before="0" w:line="280" w:lineRule="exact"/>
              <w:jc w:val="center"/>
              <w:rPr>
                <w:rFonts w:ascii="Arial" w:hAnsi="Arial"/>
                <w:b/>
                <w:sz w:val="20"/>
              </w:rPr>
            </w:pPr>
          </w:p>
        </w:tc>
        <w:tc>
          <w:tcPr>
            <w:tcW w:w="1080" w:type="dxa"/>
          </w:tcPr>
          <w:p w14:paraId="0B777659" w14:textId="77777777" w:rsidR="00A90670" w:rsidRDefault="00A90670">
            <w:pPr>
              <w:pStyle w:val="BodyText"/>
              <w:spacing w:before="0" w:line="280" w:lineRule="exact"/>
              <w:jc w:val="center"/>
              <w:rPr>
                <w:rFonts w:ascii="Arial" w:hAnsi="Arial"/>
                <w:b/>
                <w:sz w:val="20"/>
                <w:lang w:val="en-CA"/>
              </w:rPr>
            </w:pPr>
          </w:p>
        </w:tc>
        <w:tc>
          <w:tcPr>
            <w:tcW w:w="1080" w:type="dxa"/>
          </w:tcPr>
          <w:p w14:paraId="0103F849" w14:textId="77777777" w:rsidR="00A90670" w:rsidRDefault="00A90670">
            <w:pPr>
              <w:pStyle w:val="BodyText"/>
              <w:spacing w:before="0" w:line="280" w:lineRule="exact"/>
              <w:jc w:val="center"/>
              <w:rPr>
                <w:rFonts w:ascii="Arial" w:hAnsi="Arial"/>
                <w:b/>
                <w:color w:val="000000"/>
                <w:sz w:val="20"/>
                <w:lang w:val="en-CA"/>
              </w:rPr>
            </w:pPr>
          </w:p>
        </w:tc>
      </w:tr>
      <w:tr w:rsidR="00A90670" w14:paraId="65307344" w14:textId="77777777">
        <w:trPr>
          <w:trHeight w:val="864"/>
        </w:trPr>
        <w:tc>
          <w:tcPr>
            <w:tcW w:w="1368" w:type="dxa"/>
          </w:tcPr>
          <w:p w14:paraId="3934941D" w14:textId="77777777" w:rsidR="00A90670" w:rsidRDefault="00A90670">
            <w:pPr>
              <w:pStyle w:val="BodyText"/>
              <w:rPr>
                <w:rFonts w:ascii="Arial" w:hAnsi="Arial"/>
                <w:lang w:val="en-CA"/>
              </w:rPr>
            </w:pPr>
          </w:p>
          <w:p w14:paraId="3122E8B8" w14:textId="77777777" w:rsidR="00A90670" w:rsidRDefault="00A90670">
            <w:pPr>
              <w:pStyle w:val="BodyText"/>
              <w:rPr>
                <w:rFonts w:ascii="Arial" w:hAnsi="Arial"/>
                <w:lang w:val="en-CA"/>
              </w:rPr>
            </w:pPr>
          </w:p>
        </w:tc>
        <w:tc>
          <w:tcPr>
            <w:tcW w:w="1350" w:type="dxa"/>
          </w:tcPr>
          <w:p w14:paraId="2346B223" w14:textId="77777777" w:rsidR="00A90670" w:rsidRDefault="00A90670">
            <w:pPr>
              <w:pStyle w:val="BodyText"/>
              <w:rPr>
                <w:rFonts w:ascii="Arial" w:hAnsi="Arial"/>
                <w:lang w:val="en-CA"/>
              </w:rPr>
            </w:pPr>
          </w:p>
        </w:tc>
        <w:tc>
          <w:tcPr>
            <w:tcW w:w="1170" w:type="dxa"/>
          </w:tcPr>
          <w:p w14:paraId="6A2CB3A4" w14:textId="77777777" w:rsidR="00A90670" w:rsidRDefault="00A90670">
            <w:pPr>
              <w:pStyle w:val="BodyText"/>
              <w:rPr>
                <w:rFonts w:ascii="Arial" w:hAnsi="Arial"/>
                <w:lang w:val="en-CA"/>
              </w:rPr>
            </w:pPr>
          </w:p>
        </w:tc>
        <w:tc>
          <w:tcPr>
            <w:tcW w:w="1350" w:type="dxa"/>
          </w:tcPr>
          <w:p w14:paraId="4FF48CFE" w14:textId="77777777" w:rsidR="00A90670" w:rsidRDefault="00A90670">
            <w:pPr>
              <w:pStyle w:val="BodyText"/>
              <w:rPr>
                <w:rFonts w:ascii="Arial" w:hAnsi="Arial"/>
                <w:lang w:val="en-CA"/>
              </w:rPr>
            </w:pPr>
          </w:p>
        </w:tc>
        <w:tc>
          <w:tcPr>
            <w:tcW w:w="1350" w:type="dxa"/>
          </w:tcPr>
          <w:p w14:paraId="73D1D41F" w14:textId="77777777" w:rsidR="00A90670" w:rsidRDefault="00A90670">
            <w:pPr>
              <w:pStyle w:val="BodyText"/>
              <w:rPr>
                <w:rFonts w:ascii="Arial" w:hAnsi="Arial"/>
                <w:lang w:val="en-CA"/>
              </w:rPr>
            </w:pPr>
          </w:p>
        </w:tc>
        <w:tc>
          <w:tcPr>
            <w:tcW w:w="1710" w:type="dxa"/>
          </w:tcPr>
          <w:p w14:paraId="53C3A006" w14:textId="77777777" w:rsidR="00A90670" w:rsidRDefault="00A90670">
            <w:pPr>
              <w:pStyle w:val="BodyText"/>
              <w:rPr>
                <w:rFonts w:ascii="Arial" w:hAnsi="Arial"/>
                <w:lang w:val="en-CA"/>
              </w:rPr>
            </w:pPr>
          </w:p>
        </w:tc>
        <w:tc>
          <w:tcPr>
            <w:tcW w:w="1080" w:type="dxa"/>
          </w:tcPr>
          <w:p w14:paraId="12DEDC46" w14:textId="77777777" w:rsidR="00A90670" w:rsidRDefault="00A90670">
            <w:pPr>
              <w:pStyle w:val="BodyText"/>
              <w:rPr>
                <w:rFonts w:ascii="Arial" w:hAnsi="Arial"/>
                <w:lang w:val="en-CA"/>
              </w:rPr>
            </w:pPr>
          </w:p>
        </w:tc>
        <w:tc>
          <w:tcPr>
            <w:tcW w:w="1080" w:type="dxa"/>
          </w:tcPr>
          <w:p w14:paraId="0AB537F5" w14:textId="77777777" w:rsidR="00A90670" w:rsidRDefault="00A90670">
            <w:pPr>
              <w:pStyle w:val="BodyText"/>
              <w:rPr>
                <w:rFonts w:ascii="Arial" w:hAnsi="Arial"/>
                <w:lang w:val="en-CA"/>
              </w:rPr>
            </w:pPr>
          </w:p>
        </w:tc>
      </w:tr>
      <w:tr w:rsidR="00A90670" w14:paraId="7B1D81B0" w14:textId="77777777">
        <w:trPr>
          <w:trHeight w:val="864"/>
        </w:trPr>
        <w:tc>
          <w:tcPr>
            <w:tcW w:w="1368" w:type="dxa"/>
          </w:tcPr>
          <w:p w14:paraId="0EC2D990" w14:textId="77777777" w:rsidR="00A90670" w:rsidRDefault="00A90670">
            <w:pPr>
              <w:pStyle w:val="BodyText"/>
              <w:rPr>
                <w:rFonts w:ascii="Arial" w:hAnsi="Arial"/>
                <w:lang w:val="en-CA"/>
              </w:rPr>
            </w:pPr>
          </w:p>
        </w:tc>
        <w:tc>
          <w:tcPr>
            <w:tcW w:w="1350" w:type="dxa"/>
          </w:tcPr>
          <w:p w14:paraId="64212554" w14:textId="77777777" w:rsidR="00A90670" w:rsidRDefault="00A90670">
            <w:pPr>
              <w:pStyle w:val="BodyText"/>
              <w:rPr>
                <w:rFonts w:ascii="Arial" w:hAnsi="Arial"/>
                <w:lang w:val="en-CA"/>
              </w:rPr>
            </w:pPr>
          </w:p>
        </w:tc>
        <w:tc>
          <w:tcPr>
            <w:tcW w:w="1170" w:type="dxa"/>
          </w:tcPr>
          <w:p w14:paraId="66A1F44F" w14:textId="77777777" w:rsidR="00A90670" w:rsidRDefault="00A90670">
            <w:pPr>
              <w:pStyle w:val="BodyText"/>
              <w:rPr>
                <w:rFonts w:ascii="Arial" w:hAnsi="Arial"/>
                <w:lang w:val="en-CA"/>
              </w:rPr>
            </w:pPr>
          </w:p>
        </w:tc>
        <w:tc>
          <w:tcPr>
            <w:tcW w:w="1350" w:type="dxa"/>
          </w:tcPr>
          <w:p w14:paraId="6E267102" w14:textId="77777777" w:rsidR="00A90670" w:rsidRDefault="00A90670">
            <w:pPr>
              <w:pStyle w:val="BodyText"/>
              <w:rPr>
                <w:rFonts w:ascii="Arial" w:hAnsi="Arial"/>
                <w:lang w:val="en-CA"/>
              </w:rPr>
            </w:pPr>
          </w:p>
        </w:tc>
        <w:tc>
          <w:tcPr>
            <w:tcW w:w="1350" w:type="dxa"/>
          </w:tcPr>
          <w:p w14:paraId="53CA52A9" w14:textId="77777777" w:rsidR="00A90670" w:rsidRDefault="00A90670">
            <w:pPr>
              <w:pStyle w:val="BodyText"/>
              <w:rPr>
                <w:rFonts w:ascii="Arial" w:hAnsi="Arial"/>
                <w:lang w:val="en-CA"/>
              </w:rPr>
            </w:pPr>
          </w:p>
        </w:tc>
        <w:tc>
          <w:tcPr>
            <w:tcW w:w="1710" w:type="dxa"/>
          </w:tcPr>
          <w:p w14:paraId="13D1FDD5" w14:textId="77777777" w:rsidR="00A90670" w:rsidRDefault="00A90670">
            <w:pPr>
              <w:pStyle w:val="BodyText"/>
              <w:rPr>
                <w:rFonts w:ascii="Arial" w:hAnsi="Arial"/>
                <w:lang w:val="en-CA"/>
              </w:rPr>
            </w:pPr>
          </w:p>
        </w:tc>
        <w:tc>
          <w:tcPr>
            <w:tcW w:w="1080" w:type="dxa"/>
          </w:tcPr>
          <w:p w14:paraId="7A037F16" w14:textId="77777777" w:rsidR="00A90670" w:rsidRDefault="00A90670">
            <w:pPr>
              <w:pStyle w:val="BodyText"/>
              <w:rPr>
                <w:rFonts w:ascii="Arial" w:hAnsi="Arial"/>
                <w:lang w:val="en-CA"/>
              </w:rPr>
            </w:pPr>
          </w:p>
        </w:tc>
        <w:tc>
          <w:tcPr>
            <w:tcW w:w="1080" w:type="dxa"/>
          </w:tcPr>
          <w:p w14:paraId="732F5D5C" w14:textId="77777777" w:rsidR="00A90670" w:rsidRDefault="00A90670">
            <w:pPr>
              <w:pStyle w:val="BodyText"/>
              <w:rPr>
                <w:rFonts w:ascii="Arial" w:hAnsi="Arial"/>
                <w:lang w:val="en-CA"/>
              </w:rPr>
            </w:pPr>
          </w:p>
        </w:tc>
      </w:tr>
    </w:tbl>
    <w:p w14:paraId="3605331A" w14:textId="77777777" w:rsidR="00EA4133" w:rsidRPr="008003B9" w:rsidRDefault="00EA4133">
      <w:pPr>
        <w:pStyle w:val="BodyText"/>
        <w:rPr>
          <w:rFonts w:ascii="Arial" w:hAnsi="Arial" w:cs="Arial"/>
          <w:sz w:val="20"/>
        </w:rPr>
      </w:pPr>
    </w:p>
    <w:p w14:paraId="00863129"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371894AA" w14:textId="77777777"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proofErr w:type="gramStart"/>
      <w:r>
        <w:rPr>
          <w:rFonts w:ascii="Arial" w:hAnsi="Arial"/>
          <w:u w:val="single"/>
        </w:rPr>
        <w:tab/>
      </w:r>
      <w:r>
        <w:rPr>
          <w:rFonts w:ascii="Arial" w:hAnsi="Arial"/>
        </w:rPr>
        <w:t xml:space="preserve"> .</w:t>
      </w:r>
      <w:proofErr w:type="gramEnd"/>
    </w:p>
    <w:p w14:paraId="450BFC06" w14:textId="77777777"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w:t>
      </w:r>
      <w:proofErr w:type="gramStart"/>
      <w:r>
        <w:rPr>
          <w:rFonts w:ascii="Arial" w:hAnsi="Arial"/>
        </w:rPr>
        <w:t xml:space="preserve">material.  </w:t>
      </w:r>
      <w:r>
        <w:rPr>
          <w:rFonts w:ascii="Arial" w:hAnsi="Arial"/>
          <w:u w:val="single"/>
        </w:rPr>
        <w:tab/>
      </w:r>
      <w:proofErr w:type="gramEnd"/>
      <w:r>
        <w:rPr>
          <w:rFonts w:ascii="Arial" w:hAnsi="Arial"/>
        </w:rPr>
        <w:t xml:space="preserve"> .</w:t>
      </w:r>
    </w:p>
    <w:p w14:paraId="77D0554F" w14:textId="77777777"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0E659D75"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6B563864"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65BE3895" w14:textId="77777777"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Pr>
          <w:rFonts w:ascii="Arial" w:hAnsi="Arial"/>
          <w:u w:val="single"/>
        </w:rPr>
        <w:tab/>
      </w:r>
      <w:proofErr w:type="gramEnd"/>
      <w:r>
        <w:rPr>
          <w:rFonts w:ascii="Arial" w:hAnsi="Arial"/>
        </w:rPr>
        <w:t xml:space="preserve"> .</w:t>
      </w:r>
    </w:p>
    <w:p w14:paraId="4D8D8777"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proofErr w:type="gramStart"/>
      <w:r>
        <w:rPr>
          <w:rFonts w:ascii="Arial" w:hAnsi="Arial"/>
          <w:u w:val="single"/>
        </w:rPr>
        <w:tab/>
      </w:r>
      <w:r>
        <w:rPr>
          <w:rFonts w:ascii="Arial" w:hAnsi="Arial"/>
        </w:rPr>
        <w:t xml:space="preserve"> .</w:t>
      </w:r>
      <w:proofErr w:type="gramEnd"/>
    </w:p>
    <w:p w14:paraId="4992CA2E"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proofErr w:type="gramStart"/>
      <w:r>
        <w:rPr>
          <w:rFonts w:ascii="Arial" w:hAnsi="Arial"/>
          <w:u w:val="single"/>
        </w:rPr>
        <w:tab/>
      </w:r>
      <w:r>
        <w:rPr>
          <w:rFonts w:ascii="Arial" w:hAnsi="Arial"/>
        </w:rPr>
        <w:t xml:space="preserve"> .</w:t>
      </w:r>
      <w:proofErr w:type="gramEnd"/>
    </w:p>
    <w:p w14:paraId="1F631A68"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ab/>
      </w:r>
    </w:p>
    <w:p w14:paraId="37F8DD80"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156498B"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proofErr w:type="gramStart"/>
      <w:r>
        <w:rPr>
          <w:rFonts w:ascii="Arial" w:hAnsi="Arial"/>
          <w:u w:val="single"/>
        </w:rPr>
        <w:tab/>
      </w:r>
      <w:r>
        <w:rPr>
          <w:rFonts w:ascii="Arial" w:hAnsi="Arial"/>
        </w:rPr>
        <w:t xml:space="preserve"> .</w:t>
      </w:r>
      <w:proofErr w:type="gramEnd"/>
    </w:p>
    <w:p w14:paraId="465055BA" w14:textId="77777777"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14:paraId="12F5A08E"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741D3535"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proofErr w:type="gramStart"/>
      <w:r>
        <w:rPr>
          <w:rFonts w:ascii="Arial" w:hAnsi="Arial"/>
          <w:u w:val="single"/>
        </w:rPr>
        <w:tab/>
      </w:r>
      <w:r>
        <w:rPr>
          <w:rFonts w:ascii="Arial" w:hAnsi="Arial"/>
        </w:rPr>
        <w:t xml:space="preserve"> .</w:t>
      </w:r>
      <w:proofErr w:type="gramEnd"/>
    </w:p>
    <w:p w14:paraId="1F8F395A"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5497F85A"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651F798C"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roofErr w:type="gramStart"/>
      <w:r>
        <w:rPr>
          <w:rFonts w:ascii="Arial" w:hAnsi="Arial"/>
          <w:u w:val="single"/>
        </w:rPr>
        <w:tab/>
      </w:r>
      <w:r>
        <w:rPr>
          <w:rFonts w:ascii="Arial" w:hAnsi="Arial"/>
        </w:rPr>
        <w:t xml:space="preserve"> .</w:t>
      </w:r>
      <w:proofErr w:type="gramEnd"/>
    </w:p>
    <w:p w14:paraId="0386DC6F"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14:paraId="67C3495E"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14:paraId="49E27A15"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14:paraId="0D785116"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14:paraId="5BCB7A54"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820D158"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w:t>
      </w:r>
      <w:r>
        <w:rPr>
          <w:rFonts w:ascii="Arial" w:hAnsi="Arial"/>
        </w:rPr>
        <w:lastRenderedPageBreak/>
        <w:t xml:space="preserve">corporation, identify persons owning or exercising voting control over 20% or more of the voting shares if known to the Issuer): </w:t>
      </w:r>
      <w:proofErr w:type="gramStart"/>
      <w:r>
        <w:rPr>
          <w:rFonts w:ascii="Arial" w:hAnsi="Arial"/>
          <w:u w:val="single"/>
        </w:rPr>
        <w:tab/>
      </w:r>
      <w:r>
        <w:rPr>
          <w:rFonts w:ascii="Arial" w:hAnsi="Arial"/>
        </w:rPr>
        <w:t xml:space="preserve"> .</w:t>
      </w:r>
      <w:proofErr w:type="gramEnd"/>
    </w:p>
    <w:p w14:paraId="0E0BD4DE"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76F20F74"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3F47C7EE"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3FCDD9CA"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proofErr w:type="gramStart"/>
      <w:r>
        <w:rPr>
          <w:rFonts w:ascii="Arial" w:hAnsi="Arial"/>
          <w:u w:val="single"/>
        </w:rPr>
        <w:tab/>
      </w:r>
      <w:r>
        <w:rPr>
          <w:rFonts w:ascii="Arial" w:hAnsi="Arial"/>
        </w:rPr>
        <w:t xml:space="preserve"> .</w:t>
      </w:r>
      <w:proofErr w:type="gramEnd"/>
    </w:p>
    <w:p w14:paraId="5728FC8A"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roofErr w:type="gramStart"/>
      <w:r>
        <w:rPr>
          <w:rFonts w:ascii="Arial" w:hAnsi="Arial"/>
          <w:u w:val="single"/>
        </w:rPr>
        <w:tab/>
      </w:r>
      <w:r>
        <w:rPr>
          <w:rFonts w:ascii="Arial" w:hAnsi="Arial"/>
        </w:rPr>
        <w:t xml:space="preserve"> .</w:t>
      </w:r>
      <w:proofErr w:type="gramEnd"/>
    </w:p>
    <w:p w14:paraId="5A6D1206"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w:t>
      </w:r>
      <w:proofErr w:type="gramStart"/>
      <w:r>
        <w:rPr>
          <w:rFonts w:ascii="Arial" w:hAnsi="Arial"/>
        </w:rPr>
        <w:t>relationship</w:t>
      </w:r>
      <w:proofErr w:type="gramEnd"/>
      <w:r>
        <w:rPr>
          <w:rFonts w:ascii="Arial" w:hAnsi="Arial"/>
        </w:rPr>
        <w:t xml:space="preserve"> </w:t>
      </w:r>
      <w:r>
        <w:rPr>
          <w:rFonts w:ascii="Arial" w:hAnsi="Arial"/>
          <w:u w:val="single"/>
        </w:rPr>
        <w:tab/>
      </w:r>
    </w:p>
    <w:p w14:paraId="25594C7E"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E640232"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7DB4EC89"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20E342B3" w14:textId="2092C782" w:rsidR="00EA4133" w:rsidRDefault="00EA4133">
      <w:pPr>
        <w:pStyle w:val="List"/>
        <w:numPr>
          <w:ilvl w:val="0"/>
          <w:numId w:val="10"/>
        </w:numPr>
        <w:rPr>
          <w:rFonts w:ascii="Arial" w:hAnsi="Arial"/>
        </w:rPr>
      </w:pPr>
      <w:r>
        <w:rPr>
          <w:rFonts w:ascii="Arial" w:hAnsi="Arial"/>
        </w:rPr>
        <w:t>State whether the private placement will result in a change of control</w:t>
      </w:r>
      <w:r w:rsidR="00B90847">
        <w:rPr>
          <w:rFonts w:ascii="Arial" w:hAnsi="Arial"/>
        </w:rPr>
        <w:t xml:space="preserve"> or </w:t>
      </w:r>
      <w:r w:rsidR="002B1174">
        <w:rPr>
          <w:rFonts w:ascii="Arial" w:hAnsi="Arial"/>
        </w:rPr>
        <w:t xml:space="preserve">if </w:t>
      </w:r>
      <w:r w:rsidR="00B90847">
        <w:rPr>
          <w:rFonts w:ascii="Arial" w:hAnsi="Arial"/>
        </w:rPr>
        <w:t>the issuance will materially affect control of the Issuer</w:t>
      </w:r>
      <w:r>
        <w:rPr>
          <w:rFonts w:ascii="Arial" w:hAnsi="Arial"/>
        </w:rPr>
        <w:t>.</w:t>
      </w:r>
    </w:p>
    <w:p w14:paraId="49829B7A"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329377FB" w14:textId="77777777" w:rsidR="00EA4133" w:rsidRDefault="00EA4133">
      <w:pPr>
        <w:pStyle w:val="List"/>
        <w:tabs>
          <w:tab w:val="left" w:pos="9180"/>
        </w:tabs>
        <w:spacing w:before="0"/>
        <w:jc w:val="both"/>
        <w:rPr>
          <w:rFonts w:ascii="Arial" w:hAnsi="Arial"/>
        </w:rPr>
      </w:pPr>
    </w:p>
    <w:p w14:paraId="5E6E97CC" w14:textId="77777777"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14:paraId="53C24F1D"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6061FBD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2A07BEC0"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062D9C74"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1ED7B34F" w14:textId="77777777" w:rsidR="003C6D7E" w:rsidRDefault="003C6D7E">
      <w:pPr>
        <w:rPr>
          <w:rFonts w:ascii="Arial" w:hAnsi="Arial"/>
          <w:b/>
          <w:color w:val="000000"/>
          <w:sz w:val="24"/>
          <w:lang w:val="en-GB"/>
        </w:rPr>
      </w:pPr>
      <w:r>
        <w:rPr>
          <w:rFonts w:ascii="Arial" w:hAnsi="Arial"/>
          <w:b/>
          <w:color w:val="000000"/>
        </w:rPr>
        <w:br w:type="page"/>
      </w:r>
    </w:p>
    <w:p w14:paraId="540694C5"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1B8636D0" w14:textId="77777777" w:rsidR="00EA4133" w:rsidRDefault="00EA4133">
      <w:pPr>
        <w:pStyle w:val="List"/>
        <w:tabs>
          <w:tab w:val="left" w:pos="9180"/>
        </w:tabs>
        <w:spacing w:before="0"/>
        <w:ind w:left="0" w:firstLine="0"/>
        <w:jc w:val="both"/>
        <w:rPr>
          <w:rFonts w:ascii="Arial" w:hAnsi="Arial"/>
          <w:color w:val="000000"/>
        </w:rPr>
      </w:pPr>
    </w:p>
    <w:p w14:paraId="7E1F4335" w14:textId="128515E7" w:rsidR="00EA4133" w:rsidRPr="00152B4E" w:rsidRDefault="00EA4133" w:rsidP="00152B4E">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B81473" w:rsidRPr="00B81473">
        <w:rPr>
          <w:rFonts w:ascii="Arial" w:hAnsi="Arial"/>
          <w:color w:val="000000"/>
          <w:u w:val="single"/>
        </w:rPr>
        <w:t>First, an o</w:t>
      </w:r>
      <w:r w:rsidR="00B81473">
        <w:rPr>
          <w:rFonts w:ascii="Arial" w:hAnsi="Arial"/>
          <w:color w:val="000000"/>
          <w:u w:val="single"/>
        </w:rPr>
        <w:t xml:space="preserve">ption to acquire a 70% interest in the Plateau Uranium Project located in southeast Athabasca Basin, Saskatchewan, which consists of 9 mineral </w:t>
      </w:r>
      <w:r w:rsidR="00152B4E">
        <w:rPr>
          <w:rFonts w:ascii="Arial" w:hAnsi="Arial"/>
          <w:color w:val="000000"/>
          <w:u w:val="single"/>
        </w:rPr>
        <w:t>licenses</w:t>
      </w:r>
      <w:r w:rsidR="00B81473">
        <w:rPr>
          <w:rFonts w:ascii="Arial" w:hAnsi="Arial"/>
          <w:color w:val="000000"/>
          <w:u w:val="single"/>
        </w:rPr>
        <w:t xml:space="preserve"> totalling 27,252ha (27km</w:t>
      </w:r>
      <w:r w:rsidR="00B81473">
        <w:rPr>
          <w:rFonts w:ascii="Arial" w:hAnsi="Arial"/>
          <w:color w:val="000000"/>
          <w:u w:val="single"/>
          <w:vertAlign w:val="superscript"/>
        </w:rPr>
        <w:t>2</w:t>
      </w:r>
      <w:r w:rsidR="00B81473">
        <w:rPr>
          <w:rFonts w:ascii="Arial" w:hAnsi="Arial"/>
          <w:color w:val="000000"/>
          <w:u w:val="single"/>
        </w:rPr>
        <w:t>), subject to a 2.0% net smelter returns royalty. Second, a</w:t>
      </w:r>
      <w:r w:rsidR="00152B4E">
        <w:rPr>
          <w:rFonts w:ascii="Arial" w:hAnsi="Arial"/>
          <w:color w:val="000000"/>
          <w:u w:val="single"/>
        </w:rPr>
        <w:t>n option to acquire a 70% interest in the Ledge Uranium Project located in along the northeast margin of the Athabasca Basin, Saskatchewan, which consists of 7 mineral licenses totalling 38,784ha (38km</w:t>
      </w:r>
      <w:r w:rsidR="00152B4E">
        <w:rPr>
          <w:rFonts w:ascii="Arial" w:hAnsi="Arial"/>
          <w:color w:val="000000"/>
          <w:u w:val="single"/>
          <w:vertAlign w:val="superscript"/>
        </w:rPr>
        <w:t>2</w:t>
      </w:r>
      <w:r w:rsidR="00152B4E">
        <w:rPr>
          <w:rFonts w:ascii="Arial" w:hAnsi="Arial"/>
          <w:color w:val="000000"/>
          <w:u w:val="single"/>
        </w:rPr>
        <w:t>), subject to a 2.0% net smelter returns royalty.</w:t>
      </w:r>
      <w:proofErr w:type="gramStart"/>
      <w:r w:rsidRPr="00152B4E">
        <w:rPr>
          <w:rFonts w:ascii="Arial" w:hAnsi="Arial"/>
          <w:color w:val="000000"/>
          <w:u w:val="single"/>
        </w:rPr>
        <w:tab/>
      </w:r>
      <w:r w:rsidRPr="00152B4E">
        <w:rPr>
          <w:rFonts w:ascii="Arial" w:hAnsi="Arial"/>
          <w:color w:val="000000"/>
        </w:rPr>
        <w:t xml:space="preserve"> .</w:t>
      </w:r>
      <w:proofErr w:type="gramEnd"/>
    </w:p>
    <w:p w14:paraId="10625127" w14:textId="312BEBFB"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152B4E">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sidR="00152B4E">
        <w:rPr>
          <w:rFonts w:ascii="Arial" w:hAnsi="Arial"/>
          <w:color w:val="000000"/>
          <w:u w:val="single"/>
        </w:rPr>
        <w:t>Option agreements</w:t>
      </w:r>
      <w:r w:rsidR="00521319">
        <w:rPr>
          <w:rFonts w:ascii="Arial" w:hAnsi="Arial"/>
          <w:color w:val="000000"/>
          <w:u w:val="single"/>
        </w:rPr>
        <w:t xml:space="preserve"> (the “</w:t>
      </w:r>
      <w:r w:rsidR="00521319">
        <w:rPr>
          <w:rFonts w:ascii="Arial" w:hAnsi="Arial"/>
          <w:b/>
          <w:color w:val="000000"/>
          <w:u w:val="single"/>
        </w:rPr>
        <w:t>Agreements</w:t>
      </w:r>
      <w:r w:rsidR="00521319">
        <w:rPr>
          <w:rFonts w:ascii="Arial" w:hAnsi="Arial"/>
          <w:color w:val="000000"/>
          <w:u w:val="single"/>
        </w:rPr>
        <w:t>”)</w:t>
      </w:r>
      <w:r w:rsidR="00152B4E">
        <w:rPr>
          <w:rFonts w:ascii="Arial" w:hAnsi="Arial"/>
          <w:color w:val="000000"/>
          <w:u w:val="single"/>
        </w:rPr>
        <w:t xml:space="preserve">, </w:t>
      </w:r>
      <w:r w:rsidR="00DB6156">
        <w:rPr>
          <w:rFonts w:ascii="Arial" w:hAnsi="Arial"/>
          <w:color w:val="000000"/>
          <w:u w:val="single"/>
        </w:rPr>
        <w:t>dated April 23, 2024, and effective once approved by the Canadian Securities Exchange,</w:t>
      </w:r>
      <w:r w:rsidR="00152B4E">
        <w:rPr>
          <w:rFonts w:ascii="Arial" w:hAnsi="Arial"/>
          <w:color w:val="000000"/>
          <w:u w:val="single"/>
        </w:rPr>
        <w:t xml:space="preserve"> between the Issuer and Atha Energy Corp.</w:t>
      </w:r>
      <w:r w:rsidR="00521319">
        <w:rPr>
          <w:rFonts w:ascii="Arial" w:hAnsi="Arial"/>
          <w:color w:val="000000"/>
          <w:u w:val="single"/>
        </w:rPr>
        <w:t xml:space="preserve"> (“</w:t>
      </w:r>
      <w:r w:rsidR="00CA2077">
        <w:rPr>
          <w:rFonts w:ascii="Arial" w:hAnsi="Arial"/>
          <w:b/>
          <w:color w:val="000000"/>
          <w:u w:val="single"/>
        </w:rPr>
        <w:t>Atha</w:t>
      </w:r>
      <w:r w:rsidR="00521319">
        <w:rPr>
          <w:rFonts w:ascii="Arial" w:hAnsi="Arial"/>
          <w:color w:val="000000"/>
          <w:u w:val="single"/>
        </w:rPr>
        <w:t>”)</w:t>
      </w:r>
      <w:r w:rsidR="00152B4E">
        <w:rPr>
          <w:rFonts w:ascii="Arial" w:hAnsi="Arial"/>
          <w:color w:val="000000"/>
          <w:u w:val="single"/>
        </w:rPr>
        <w:t>, whereby the Issuer may acquire a 70% interest in the Plateau and Ledge Uranium Projects respectively.</w:t>
      </w:r>
      <w:r w:rsidR="00521319">
        <w:rPr>
          <w:rFonts w:ascii="Arial" w:hAnsi="Arial"/>
          <w:color w:val="000000"/>
          <w:u w:val="single"/>
        </w:rPr>
        <w:t xml:space="preserve"> The Issuer will issue 2,165,114 shares to Alta for acquisition of the option in each project. As part of the Agreements the Issuer has agreed to include a non-dilution clause </w:t>
      </w:r>
      <w:r w:rsidR="00606939">
        <w:rPr>
          <w:rFonts w:ascii="Arial" w:hAnsi="Arial"/>
          <w:color w:val="000000"/>
          <w:u w:val="single"/>
        </w:rPr>
        <w:t>(the “</w:t>
      </w:r>
      <w:r w:rsidR="00606939">
        <w:rPr>
          <w:rFonts w:ascii="Arial" w:hAnsi="Arial"/>
          <w:b/>
          <w:color w:val="000000"/>
          <w:u w:val="single"/>
        </w:rPr>
        <w:t>Non-Dilution Provision</w:t>
      </w:r>
      <w:r w:rsidR="00606939">
        <w:rPr>
          <w:rFonts w:ascii="Arial" w:hAnsi="Arial"/>
          <w:color w:val="000000"/>
          <w:u w:val="single"/>
        </w:rPr>
        <w:t xml:space="preserve">”) </w:t>
      </w:r>
      <w:r w:rsidR="00521319">
        <w:rPr>
          <w:rFonts w:ascii="Arial" w:hAnsi="Arial"/>
          <w:color w:val="000000"/>
          <w:u w:val="single"/>
        </w:rPr>
        <w:t>whereby the Issuer agrees that upon the issuance of any shares of the</w:t>
      </w:r>
      <w:r w:rsidR="00CA2077">
        <w:rPr>
          <w:rFonts w:ascii="Arial" w:hAnsi="Arial"/>
          <w:color w:val="000000"/>
          <w:u w:val="single"/>
        </w:rPr>
        <w:t xml:space="preserve"> Issuer (excluding those shares issued upon the conversion of incentive stock options or the issuance of any shares upon the conversion of any common share purchase warrants issued prior</w:t>
      </w:r>
      <w:r w:rsidR="00F650A9">
        <w:rPr>
          <w:rFonts w:ascii="Arial" w:hAnsi="Arial"/>
          <w:color w:val="000000"/>
          <w:u w:val="single"/>
        </w:rPr>
        <w:t>, or subsequent</w:t>
      </w:r>
      <w:r w:rsidR="00CA2077">
        <w:rPr>
          <w:rFonts w:ascii="Arial" w:hAnsi="Arial"/>
          <w:color w:val="000000"/>
          <w:u w:val="single"/>
        </w:rPr>
        <w:t xml:space="preserve"> to</w:t>
      </w:r>
      <w:r w:rsidR="00F650A9">
        <w:rPr>
          <w:rFonts w:ascii="Arial" w:hAnsi="Arial"/>
          <w:color w:val="000000"/>
          <w:u w:val="single"/>
        </w:rPr>
        <w:t>,</w:t>
      </w:r>
      <w:r w:rsidR="00CA2077">
        <w:rPr>
          <w:rFonts w:ascii="Arial" w:hAnsi="Arial"/>
          <w:color w:val="000000"/>
          <w:u w:val="single"/>
        </w:rPr>
        <w:t xml:space="preserve"> the date of the Agreements), the Issuer will issue shares to Atha to ensure their ownership percentage in the Issuer remains at 9%.</w:t>
      </w:r>
      <w:r w:rsidR="00606939">
        <w:rPr>
          <w:rFonts w:ascii="Arial" w:hAnsi="Arial"/>
          <w:color w:val="000000"/>
          <w:u w:val="single"/>
        </w:rPr>
        <w:t xml:space="preserve"> The Option Agreements also contain provisions regarding the creation of a joint venture should the option be exercised in each agreement. The Non-Dilution Provision will expire at the earlier of the termination of the Option Agreements or the entering into of a joint venture agreement, as contemplated by the Option Agreements.</w:t>
      </w:r>
      <w:r>
        <w:rPr>
          <w:rFonts w:ascii="Arial" w:hAnsi="Arial"/>
          <w:color w:val="000000"/>
          <w:u w:val="single"/>
        </w:rPr>
        <w:tab/>
      </w:r>
    </w:p>
    <w:p w14:paraId="26CFF340"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12B3ACEE" w14:textId="77777777" w:rsidR="00EA4133" w:rsidRDefault="00EA4133">
      <w:pPr>
        <w:pStyle w:val="List"/>
        <w:numPr>
          <w:ilvl w:val="0"/>
          <w:numId w:val="16"/>
        </w:numPr>
        <w:jc w:val="both"/>
        <w:rPr>
          <w:rFonts w:ascii="Arial" w:hAnsi="Arial"/>
          <w:color w:val="000000"/>
        </w:rPr>
      </w:pPr>
      <w:r>
        <w:rPr>
          <w:rFonts w:ascii="Arial" w:hAnsi="Arial"/>
          <w:color w:val="000000"/>
        </w:rPr>
        <w:t xml:space="preserve">Provide the following information in relation to the total consideration for the acquisition (including details of all cash, </w:t>
      </w:r>
      <w:proofErr w:type="gramStart"/>
      <w:r>
        <w:rPr>
          <w:rFonts w:ascii="Arial" w:hAnsi="Arial"/>
          <w:color w:val="000000"/>
        </w:rPr>
        <w:t>securities</w:t>
      </w:r>
      <w:proofErr w:type="gramEnd"/>
      <w:r>
        <w:rPr>
          <w:rFonts w:ascii="Arial" w:hAnsi="Arial"/>
          <w:color w:val="000000"/>
        </w:rPr>
        <w:t xml:space="preserve"> or other consideration) and any required work commitments:</w:t>
      </w:r>
    </w:p>
    <w:p w14:paraId="11FDCF4D"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14:paraId="51067039" w14:textId="3C4F42F8"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152B4E" w:rsidRPr="00152B4E">
        <w:rPr>
          <w:rFonts w:ascii="Arial" w:hAnsi="Arial"/>
          <w:color w:val="000000"/>
          <w:u w:val="single"/>
        </w:rPr>
        <w:t>$0</w:t>
      </w:r>
      <w:proofErr w:type="gramStart"/>
      <w:r>
        <w:rPr>
          <w:rFonts w:ascii="Arial" w:hAnsi="Arial"/>
          <w:color w:val="000000"/>
          <w:u w:val="single"/>
        </w:rPr>
        <w:tab/>
      </w:r>
      <w:r>
        <w:rPr>
          <w:rFonts w:ascii="Arial" w:hAnsi="Arial"/>
          <w:color w:val="000000"/>
        </w:rPr>
        <w:t xml:space="preserve"> .</w:t>
      </w:r>
      <w:proofErr w:type="gramEnd"/>
    </w:p>
    <w:p w14:paraId="7F0C1DD5" w14:textId="3B178D66"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Securities (including options, warrants etc.) and dollar value</w:t>
      </w:r>
      <w:proofErr w:type="gramStart"/>
      <w:r>
        <w:rPr>
          <w:rFonts w:ascii="Arial" w:hAnsi="Arial"/>
          <w:color w:val="000000"/>
        </w:rPr>
        <w:t xml:space="preserve">: </w:t>
      </w:r>
      <w:r w:rsidR="00152B4E">
        <w:rPr>
          <w:rFonts w:ascii="Arial" w:hAnsi="Arial"/>
          <w:color w:val="000000"/>
          <w:u w:val="single"/>
        </w:rPr>
        <w:t xml:space="preserve"> (</w:t>
      </w:r>
      <w:proofErr w:type="gramEnd"/>
      <w:r w:rsidR="00152B4E">
        <w:rPr>
          <w:rFonts w:ascii="Arial" w:hAnsi="Arial"/>
          <w:color w:val="000000"/>
          <w:u w:val="single"/>
        </w:rPr>
        <w:t xml:space="preserve">a) 2,165,114 common shares within two days following regulatory approval at a price per share of $0.05 for the Plateau Uranium </w:t>
      </w:r>
      <w:r w:rsidR="00152B4E">
        <w:rPr>
          <w:rFonts w:ascii="Arial" w:hAnsi="Arial"/>
          <w:color w:val="000000"/>
          <w:u w:val="single"/>
        </w:rPr>
        <w:lastRenderedPageBreak/>
        <w:t xml:space="preserve">Project; (b) </w:t>
      </w:r>
      <w:r w:rsidR="003371DF">
        <w:rPr>
          <w:rFonts w:ascii="Arial" w:hAnsi="Arial"/>
          <w:color w:val="000000"/>
          <w:u w:val="single"/>
        </w:rPr>
        <w:t>2,165,114 common shares within two days following regulatory approval at a price per share of $0.05 for the Ledge Uranium Project.</w:t>
      </w:r>
      <w:r>
        <w:rPr>
          <w:rFonts w:ascii="Arial" w:hAnsi="Arial"/>
          <w:color w:val="000000"/>
          <w:u w:val="single"/>
        </w:rPr>
        <w:tab/>
      </w:r>
    </w:p>
    <w:p w14:paraId="7FEA1573" w14:textId="40BC6E7E" w:rsidR="003371DF" w:rsidRPr="003371DF" w:rsidRDefault="00EA4133" w:rsidP="003371DF">
      <w:pPr>
        <w:pStyle w:val="List"/>
        <w:tabs>
          <w:tab w:val="left" w:pos="1080"/>
          <w:tab w:val="left" w:pos="2160"/>
          <w:tab w:val="left" w:pos="9180"/>
        </w:tabs>
        <w:spacing w:before="0"/>
        <w:ind w:left="2160" w:firstLine="0"/>
        <w:rPr>
          <w:rFonts w:ascii="Arial" w:hAnsi="Arial"/>
          <w:color w:val="000000"/>
        </w:rPr>
      </w:pPr>
      <w:r>
        <w:rPr>
          <w:rFonts w:ascii="Arial" w:hAnsi="Arial"/>
          <w:color w:val="000000"/>
          <w:u w:val="single"/>
        </w:rPr>
        <w:tab/>
      </w:r>
    </w:p>
    <w:p w14:paraId="7C0B5562" w14:textId="1A76EA89"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3371DF" w:rsidRPr="003371DF">
        <w:rPr>
          <w:rFonts w:ascii="Arial" w:hAnsi="Arial"/>
          <w:color w:val="000000"/>
          <w:u w:val="single"/>
        </w:rPr>
        <w:t>2.0% net smelter return royalty on each project</w:t>
      </w:r>
      <w:proofErr w:type="gramStart"/>
      <w:r>
        <w:rPr>
          <w:rFonts w:ascii="Arial" w:hAnsi="Arial"/>
          <w:color w:val="000000"/>
          <w:u w:val="single"/>
        </w:rPr>
        <w:tab/>
      </w:r>
      <w:r>
        <w:rPr>
          <w:rFonts w:ascii="Arial" w:hAnsi="Arial"/>
          <w:color w:val="000000"/>
        </w:rPr>
        <w:t xml:space="preserve"> .</w:t>
      </w:r>
      <w:proofErr w:type="gramEnd"/>
    </w:p>
    <w:p w14:paraId="59D79B3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3F6A8EAF"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08490313" w14:textId="77777777" w:rsidR="003371DF" w:rsidRDefault="00EA4133" w:rsidP="003371DF">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
    <w:p w14:paraId="1C19268A" w14:textId="31E0632A" w:rsidR="003371DF" w:rsidRPr="003371DF" w:rsidRDefault="003371DF" w:rsidP="003371DF">
      <w:pPr>
        <w:pStyle w:val="List"/>
        <w:tabs>
          <w:tab w:val="left" w:pos="2160"/>
          <w:tab w:val="left" w:pos="9180"/>
        </w:tabs>
        <w:ind w:left="2160" w:firstLine="0"/>
        <w:rPr>
          <w:rFonts w:ascii="Arial" w:hAnsi="Arial"/>
          <w:color w:val="000000"/>
        </w:rPr>
      </w:pPr>
      <w:r w:rsidRPr="003371DF">
        <w:rPr>
          <w:rFonts w:ascii="Arial" w:hAnsi="Arial"/>
          <w:color w:val="000000"/>
        </w:rPr>
        <w:t>(A)Plateau</w:t>
      </w:r>
    </w:p>
    <w:p w14:paraId="15623348" w14:textId="77777777" w:rsidR="003371DF" w:rsidRDefault="003371DF" w:rsidP="003371DF">
      <w:pPr>
        <w:pStyle w:val="List"/>
        <w:tabs>
          <w:tab w:val="left" w:pos="2160"/>
          <w:tab w:val="left" w:pos="9180"/>
        </w:tabs>
        <w:ind w:left="2160" w:firstLine="0"/>
        <w:rPr>
          <w:rFonts w:ascii="Arial" w:hAnsi="Arial"/>
          <w:color w:val="000000"/>
        </w:rPr>
      </w:pPr>
      <w:r w:rsidRPr="003371DF">
        <w:rPr>
          <w:rFonts w:ascii="Arial" w:hAnsi="Arial"/>
          <w:color w:val="000000"/>
        </w:rPr>
        <w:t>Exploration Expenditures of</w:t>
      </w:r>
      <w:r>
        <w:rPr>
          <w:rFonts w:ascii="Arial" w:hAnsi="Arial"/>
          <w:color w:val="000000"/>
        </w:rPr>
        <w:t xml:space="preserve">: </w:t>
      </w:r>
    </w:p>
    <w:p w14:paraId="65F5BFA7" w14:textId="6F0B08EC" w:rsidR="003371DF" w:rsidRPr="003371DF" w:rsidRDefault="003371DF" w:rsidP="003371DF">
      <w:pPr>
        <w:pStyle w:val="List"/>
        <w:tabs>
          <w:tab w:val="left" w:pos="2160"/>
          <w:tab w:val="left" w:pos="9180"/>
        </w:tabs>
        <w:ind w:left="2160" w:firstLine="0"/>
        <w:rPr>
          <w:rFonts w:ascii="Arial" w:hAnsi="Arial"/>
          <w:color w:val="000000"/>
        </w:rPr>
      </w:pPr>
      <w:r w:rsidRPr="003371DF">
        <w:rPr>
          <w:rFonts w:ascii="Arial" w:hAnsi="Arial"/>
          <w:color w:val="000000"/>
        </w:rPr>
        <w:t>(</w:t>
      </w:r>
      <w:proofErr w:type="spellStart"/>
      <w:r w:rsidRPr="003371DF">
        <w:rPr>
          <w:rFonts w:ascii="Arial" w:hAnsi="Arial"/>
          <w:color w:val="000000"/>
        </w:rPr>
        <w:t>i</w:t>
      </w:r>
      <w:proofErr w:type="spellEnd"/>
      <w:r w:rsidRPr="003371DF">
        <w:rPr>
          <w:rFonts w:ascii="Arial" w:hAnsi="Arial"/>
          <w:color w:val="000000"/>
        </w:rPr>
        <w:t xml:space="preserve">) $400,000 by September 1, </w:t>
      </w:r>
      <w:proofErr w:type="gramStart"/>
      <w:r w:rsidRPr="003371DF">
        <w:rPr>
          <w:rFonts w:ascii="Arial" w:hAnsi="Arial"/>
          <w:color w:val="000000"/>
        </w:rPr>
        <w:t>2024;</w:t>
      </w:r>
      <w:proofErr w:type="gramEnd"/>
    </w:p>
    <w:p w14:paraId="1FC64D8D" w14:textId="77777777" w:rsidR="003371DF" w:rsidRPr="003371DF" w:rsidRDefault="003371DF" w:rsidP="003371DF">
      <w:pPr>
        <w:pStyle w:val="List"/>
        <w:tabs>
          <w:tab w:val="left" w:pos="2160"/>
          <w:tab w:val="left" w:pos="9180"/>
        </w:tabs>
        <w:ind w:left="2160" w:firstLine="0"/>
        <w:rPr>
          <w:rFonts w:ascii="Arial" w:hAnsi="Arial"/>
          <w:color w:val="000000"/>
        </w:rPr>
      </w:pPr>
      <w:r w:rsidRPr="003371DF">
        <w:rPr>
          <w:rFonts w:ascii="Arial" w:hAnsi="Arial"/>
          <w:color w:val="000000"/>
        </w:rPr>
        <w:t xml:space="preserve">(ii) an additional $400,000 by September 1, </w:t>
      </w:r>
      <w:proofErr w:type="gramStart"/>
      <w:r w:rsidRPr="003371DF">
        <w:rPr>
          <w:rFonts w:ascii="Arial" w:hAnsi="Arial"/>
          <w:color w:val="000000"/>
        </w:rPr>
        <w:t>2025;</w:t>
      </w:r>
      <w:proofErr w:type="gramEnd"/>
    </w:p>
    <w:p w14:paraId="1599D292" w14:textId="77777777" w:rsidR="003371DF" w:rsidRPr="003371DF" w:rsidRDefault="003371DF" w:rsidP="003371DF">
      <w:pPr>
        <w:pStyle w:val="List"/>
        <w:tabs>
          <w:tab w:val="left" w:pos="2160"/>
          <w:tab w:val="left" w:pos="9180"/>
        </w:tabs>
        <w:ind w:left="2160" w:firstLine="0"/>
        <w:rPr>
          <w:rFonts w:ascii="Arial" w:hAnsi="Arial"/>
          <w:color w:val="000000"/>
        </w:rPr>
      </w:pPr>
      <w:r w:rsidRPr="003371DF">
        <w:rPr>
          <w:rFonts w:ascii="Arial" w:hAnsi="Arial"/>
          <w:color w:val="000000"/>
        </w:rPr>
        <w:t>(iii) an additional $3,000,000 by September 1, 2028</w:t>
      </w:r>
    </w:p>
    <w:p w14:paraId="492FF54B" w14:textId="11985933" w:rsidR="003371DF" w:rsidRPr="003371DF" w:rsidRDefault="003371DF" w:rsidP="003371DF">
      <w:pPr>
        <w:pStyle w:val="List"/>
        <w:tabs>
          <w:tab w:val="left" w:pos="2160"/>
          <w:tab w:val="left" w:pos="9180"/>
        </w:tabs>
        <w:ind w:left="2160" w:firstLine="0"/>
        <w:rPr>
          <w:rFonts w:ascii="Arial" w:hAnsi="Arial"/>
          <w:color w:val="000000"/>
        </w:rPr>
      </w:pPr>
      <w:r w:rsidRPr="003371DF">
        <w:rPr>
          <w:rFonts w:ascii="Arial" w:hAnsi="Arial"/>
          <w:color w:val="000000"/>
        </w:rPr>
        <w:t>(B)Ledge</w:t>
      </w:r>
    </w:p>
    <w:p w14:paraId="4FE2184F" w14:textId="6B5F9D05" w:rsidR="003371DF" w:rsidRPr="003371DF" w:rsidRDefault="003371DF" w:rsidP="003371DF">
      <w:pPr>
        <w:pStyle w:val="List"/>
        <w:tabs>
          <w:tab w:val="left" w:pos="2160"/>
          <w:tab w:val="left" w:pos="9180"/>
        </w:tabs>
        <w:ind w:left="2160" w:firstLine="0"/>
        <w:rPr>
          <w:rFonts w:ascii="Arial" w:hAnsi="Arial"/>
          <w:color w:val="000000"/>
        </w:rPr>
      </w:pPr>
      <w:r w:rsidRPr="003371DF">
        <w:rPr>
          <w:rFonts w:ascii="Arial" w:hAnsi="Arial"/>
          <w:color w:val="000000"/>
        </w:rPr>
        <w:t>Exploration Expenditures of</w:t>
      </w:r>
      <w:r>
        <w:rPr>
          <w:rFonts w:ascii="Arial" w:hAnsi="Arial"/>
          <w:color w:val="000000"/>
        </w:rPr>
        <w:t>:</w:t>
      </w:r>
    </w:p>
    <w:p w14:paraId="2FCB7547" w14:textId="77777777" w:rsidR="003371DF" w:rsidRPr="003371DF" w:rsidRDefault="003371DF" w:rsidP="003371DF">
      <w:pPr>
        <w:pStyle w:val="List"/>
        <w:tabs>
          <w:tab w:val="left" w:pos="2160"/>
          <w:tab w:val="left" w:pos="9180"/>
        </w:tabs>
        <w:ind w:left="2160" w:firstLine="0"/>
        <w:rPr>
          <w:rFonts w:ascii="Arial" w:hAnsi="Arial"/>
          <w:color w:val="000000"/>
        </w:rPr>
      </w:pPr>
      <w:r w:rsidRPr="003371DF">
        <w:rPr>
          <w:rFonts w:ascii="Arial" w:hAnsi="Arial"/>
          <w:color w:val="000000"/>
        </w:rPr>
        <w:t>(</w:t>
      </w:r>
      <w:proofErr w:type="spellStart"/>
      <w:r w:rsidRPr="003371DF">
        <w:rPr>
          <w:rFonts w:ascii="Arial" w:hAnsi="Arial"/>
          <w:color w:val="000000"/>
        </w:rPr>
        <w:t>i</w:t>
      </w:r>
      <w:proofErr w:type="spellEnd"/>
      <w:r w:rsidRPr="003371DF">
        <w:rPr>
          <w:rFonts w:ascii="Arial" w:hAnsi="Arial"/>
          <w:color w:val="000000"/>
        </w:rPr>
        <w:t xml:space="preserve">) $600,000 by September 1, </w:t>
      </w:r>
      <w:proofErr w:type="gramStart"/>
      <w:r w:rsidRPr="003371DF">
        <w:rPr>
          <w:rFonts w:ascii="Arial" w:hAnsi="Arial"/>
          <w:color w:val="000000"/>
        </w:rPr>
        <w:t>2024;</w:t>
      </w:r>
      <w:proofErr w:type="gramEnd"/>
    </w:p>
    <w:p w14:paraId="2B5EF1D2" w14:textId="77777777" w:rsidR="003371DF" w:rsidRPr="003371DF" w:rsidRDefault="003371DF" w:rsidP="003371DF">
      <w:pPr>
        <w:pStyle w:val="List"/>
        <w:tabs>
          <w:tab w:val="left" w:pos="2160"/>
          <w:tab w:val="left" w:pos="9180"/>
        </w:tabs>
        <w:ind w:left="2160" w:firstLine="0"/>
        <w:rPr>
          <w:rFonts w:ascii="Arial" w:hAnsi="Arial"/>
          <w:color w:val="000000"/>
        </w:rPr>
      </w:pPr>
      <w:r w:rsidRPr="003371DF">
        <w:rPr>
          <w:rFonts w:ascii="Arial" w:hAnsi="Arial"/>
          <w:color w:val="000000"/>
        </w:rPr>
        <w:t xml:space="preserve">(ii) an additional $600,000 by September 1, </w:t>
      </w:r>
      <w:proofErr w:type="gramStart"/>
      <w:r w:rsidRPr="003371DF">
        <w:rPr>
          <w:rFonts w:ascii="Arial" w:hAnsi="Arial"/>
          <w:color w:val="000000"/>
        </w:rPr>
        <w:t>2025;</w:t>
      </w:r>
      <w:proofErr w:type="gramEnd"/>
    </w:p>
    <w:p w14:paraId="75F09328" w14:textId="50993C64" w:rsidR="00EA4133" w:rsidRDefault="003371DF" w:rsidP="003371DF">
      <w:pPr>
        <w:pStyle w:val="List"/>
        <w:tabs>
          <w:tab w:val="left" w:pos="9180"/>
        </w:tabs>
        <w:ind w:left="2160" w:firstLine="0"/>
        <w:rPr>
          <w:rFonts w:ascii="Arial" w:hAnsi="Arial"/>
          <w:color w:val="000000"/>
        </w:rPr>
      </w:pPr>
      <w:r w:rsidRPr="003371DF">
        <w:rPr>
          <w:rFonts w:ascii="Arial" w:hAnsi="Arial"/>
          <w:color w:val="000000"/>
        </w:rPr>
        <w:t>(iii) an additional $3,000,000 by September 1, 2028</w:t>
      </w:r>
      <w:r w:rsidR="00EA4133">
        <w:rPr>
          <w:rFonts w:ascii="Arial" w:hAnsi="Arial"/>
          <w:color w:val="000000"/>
        </w:rPr>
        <w:t>.</w:t>
      </w:r>
    </w:p>
    <w:p w14:paraId="294A5F97" w14:textId="25019FFD"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4A63748B" w14:textId="5F7FFE67" w:rsidR="003371DF" w:rsidRPr="003371DF" w:rsidRDefault="003371DF" w:rsidP="003371DF">
      <w:pPr>
        <w:pStyle w:val="List"/>
        <w:tabs>
          <w:tab w:val="left" w:pos="9180"/>
        </w:tabs>
        <w:ind w:firstLine="0"/>
        <w:rPr>
          <w:rFonts w:ascii="Arial" w:hAnsi="Arial"/>
          <w:color w:val="000000"/>
          <w:u w:val="single"/>
        </w:rPr>
      </w:pPr>
      <w:r w:rsidRPr="003371DF">
        <w:rPr>
          <w:rFonts w:ascii="Arial" w:hAnsi="Arial"/>
          <w:color w:val="000000"/>
          <w:u w:val="single"/>
        </w:rPr>
        <w:t>Arm’s length negotiation between parties.</w:t>
      </w:r>
    </w:p>
    <w:p w14:paraId="2541F9A6" w14:textId="41FCA5E9"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3371DF">
        <w:rPr>
          <w:rFonts w:ascii="Arial" w:hAnsi="Arial"/>
          <w:color w:val="000000"/>
        </w:rPr>
        <w:t xml:space="preserve"> </w:t>
      </w:r>
      <w:r w:rsidR="003371DF">
        <w:rPr>
          <w:rFonts w:ascii="Arial" w:hAnsi="Arial"/>
          <w:color w:val="000000"/>
          <w:u w:val="single"/>
        </w:rPr>
        <w:t>N/A</w:t>
      </w:r>
      <w:r>
        <w:rPr>
          <w:rFonts w:ascii="Arial" w:hAnsi="Arial"/>
          <w:color w:val="000000"/>
          <w:u w:val="single"/>
        </w:rPr>
        <w:tab/>
      </w:r>
    </w:p>
    <w:p w14:paraId="6F132E51"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4DE4D189"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530"/>
        <w:gridCol w:w="990"/>
        <w:gridCol w:w="1440"/>
        <w:gridCol w:w="1440"/>
        <w:gridCol w:w="1620"/>
        <w:gridCol w:w="1530"/>
      </w:tblGrid>
      <w:tr w:rsidR="00EA4133" w14:paraId="104B9936" w14:textId="77777777" w:rsidTr="003371DF">
        <w:tc>
          <w:tcPr>
            <w:tcW w:w="1440" w:type="dxa"/>
          </w:tcPr>
          <w:p w14:paraId="5E475533" w14:textId="77777777" w:rsidR="00EA4133" w:rsidRDefault="00EA4133">
            <w:pPr>
              <w:pStyle w:val="BodyText"/>
              <w:keepNext/>
              <w:keepLines/>
              <w:spacing w:before="0" w:line="280" w:lineRule="exact"/>
              <w:jc w:val="center"/>
              <w:rPr>
                <w:rFonts w:ascii="Arial" w:hAnsi="Arial"/>
                <w:b/>
                <w:sz w:val="20"/>
                <w:lang w:val="en-CA"/>
              </w:rPr>
            </w:pPr>
          </w:p>
          <w:p w14:paraId="719C7CF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530" w:type="dxa"/>
          </w:tcPr>
          <w:p w14:paraId="1B72D7BD" w14:textId="77777777" w:rsidR="00EA4133" w:rsidRDefault="00EA4133">
            <w:pPr>
              <w:pStyle w:val="BodyText"/>
              <w:keepNext/>
              <w:keepLines/>
              <w:spacing w:before="0" w:line="280" w:lineRule="exact"/>
              <w:jc w:val="center"/>
              <w:rPr>
                <w:rFonts w:ascii="Arial" w:hAnsi="Arial"/>
                <w:b/>
                <w:sz w:val="20"/>
                <w:lang w:val="en-CA"/>
              </w:rPr>
            </w:pPr>
          </w:p>
          <w:p w14:paraId="1FCB369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990" w:type="dxa"/>
          </w:tcPr>
          <w:p w14:paraId="51F92866" w14:textId="77777777" w:rsidR="00EA4133" w:rsidRDefault="00EA4133">
            <w:pPr>
              <w:pStyle w:val="BodyText"/>
              <w:keepNext/>
              <w:keepLines/>
              <w:spacing w:before="0" w:line="280" w:lineRule="exact"/>
              <w:jc w:val="center"/>
              <w:rPr>
                <w:rFonts w:ascii="Arial" w:hAnsi="Arial"/>
                <w:b/>
                <w:sz w:val="20"/>
                <w:lang w:val="en-CA"/>
              </w:rPr>
            </w:pPr>
          </w:p>
          <w:p w14:paraId="5E8FB51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4A22D346" w14:textId="77777777" w:rsidR="00EA4133" w:rsidRDefault="00EA4133">
            <w:pPr>
              <w:pStyle w:val="BodyText"/>
              <w:keepNext/>
              <w:keepLines/>
              <w:spacing w:before="0" w:line="280" w:lineRule="exact"/>
              <w:jc w:val="center"/>
              <w:rPr>
                <w:rFonts w:ascii="Arial" w:hAnsi="Arial"/>
                <w:b/>
                <w:sz w:val="20"/>
                <w:lang w:val="en-CA"/>
              </w:rPr>
            </w:pPr>
          </w:p>
          <w:p w14:paraId="35100CC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3C815A6" w14:textId="77777777" w:rsidR="00EA4133" w:rsidRDefault="00EA4133">
            <w:pPr>
              <w:pStyle w:val="BodyText"/>
              <w:keepNext/>
              <w:keepLines/>
              <w:spacing w:before="0" w:line="280" w:lineRule="exact"/>
              <w:jc w:val="center"/>
              <w:rPr>
                <w:rFonts w:ascii="Arial" w:hAnsi="Arial"/>
                <w:b/>
                <w:sz w:val="20"/>
                <w:lang w:val="en-CA"/>
              </w:rPr>
            </w:pPr>
          </w:p>
          <w:p w14:paraId="6DF360D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2CD6E249" w14:textId="77777777" w:rsidR="00EA4133" w:rsidRDefault="00EA4133">
            <w:pPr>
              <w:pStyle w:val="BodyText"/>
              <w:keepNext/>
              <w:keepLines/>
              <w:spacing w:before="0" w:line="280" w:lineRule="exact"/>
              <w:jc w:val="center"/>
              <w:rPr>
                <w:rFonts w:ascii="Arial" w:hAnsi="Arial"/>
                <w:b/>
                <w:sz w:val="20"/>
              </w:rPr>
            </w:pPr>
          </w:p>
          <w:p w14:paraId="4AB3DDC4"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714F7A79" w14:textId="77777777" w:rsidR="00EA4133" w:rsidRDefault="00EA4133">
            <w:pPr>
              <w:pStyle w:val="BodyText"/>
              <w:keepNext/>
              <w:keepLines/>
              <w:spacing w:before="0" w:line="280" w:lineRule="exact"/>
              <w:jc w:val="center"/>
              <w:rPr>
                <w:rFonts w:ascii="Arial" w:hAnsi="Arial"/>
                <w:b/>
                <w:color w:val="000000"/>
                <w:sz w:val="20"/>
                <w:lang w:val="en-CA"/>
              </w:rPr>
            </w:pPr>
          </w:p>
          <w:p w14:paraId="111A5EBC"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relationship</w:t>
            </w:r>
            <w:proofErr w:type="gramEnd"/>
            <w:r>
              <w:rPr>
                <w:rFonts w:ascii="Arial" w:hAnsi="Arial"/>
                <w:b/>
                <w:color w:val="000000"/>
                <w:sz w:val="20"/>
                <w:lang w:val="en-CA"/>
              </w:rPr>
              <w:t xml:space="preserve"> </w:t>
            </w:r>
          </w:p>
          <w:p w14:paraId="3BB0FFA1"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1C963773" w14:textId="77777777" w:rsidTr="004776B9">
        <w:trPr>
          <w:trHeight w:hRule="exact" w:val="2962"/>
        </w:trPr>
        <w:tc>
          <w:tcPr>
            <w:tcW w:w="1440" w:type="dxa"/>
          </w:tcPr>
          <w:p w14:paraId="3F41584D" w14:textId="6E82D0E9" w:rsidR="00EA4133" w:rsidRDefault="003371DF" w:rsidP="005879EC">
            <w:pPr>
              <w:pStyle w:val="BodyText"/>
              <w:keepNext/>
              <w:keepLines/>
              <w:rPr>
                <w:rFonts w:ascii="Arial" w:hAnsi="Arial"/>
                <w:lang w:val="en-CA"/>
              </w:rPr>
            </w:pPr>
            <w:r>
              <w:rPr>
                <w:rFonts w:ascii="Arial" w:hAnsi="Arial"/>
                <w:lang w:val="en-CA"/>
              </w:rPr>
              <w:t>Atha Energy Corp.</w:t>
            </w:r>
            <w:r w:rsidR="007577DF">
              <w:rPr>
                <w:rFonts w:ascii="Arial" w:hAnsi="Arial"/>
                <w:lang w:val="en-CA"/>
              </w:rPr>
              <w:t xml:space="preserve"> (Listed on </w:t>
            </w:r>
            <w:proofErr w:type="gramStart"/>
            <w:r w:rsidR="007577DF">
              <w:rPr>
                <w:rFonts w:ascii="Arial" w:hAnsi="Arial"/>
                <w:lang w:val="en-CA"/>
              </w:rPr>
              <w:t>TSX:V</w:t>
            </w:r>
            <w:proofErr w:type="gramEnd"/>
            <w:r w:rsidR="007577DF">
              <w:rPr>
                <w:rFonts w:ascii="Arial" w:hAnsi="Arial"/>
                <w:lang w:val="en-CA"/>
              </w:rPr>
              <w:t xml:space="preserve"> as SASK)</w:t>
            </w:r>
          </w:p>
        </w:tc>
        <w:tc>
          <w:tcPr>
            <w:tcW w:w="1530" w:type="dxa"/>
          </w:tcPr>
          <w:p w14:paraId="48E557D7" w14:textId="54F2C2C4" w:rsidR="00EA4133" w:rsidRDefault="003371DF">
            <w:pPr>
              <w:pStyle w:val="BodyText"/>
              <w:keepNext/>
              <w:keepLines/>
              <w:rPr>
                <w:rFonts w:ascii="Arial" w:hAnsi="Arial"/>
                <w:lang w:val="en-CA"/>
              </w:rPr>
            </w:pPr>
            <w:r>
              <w:rPr>
                <w:rFonts w:ascii="Arial" w:hAnsi="Arial"/>
                <w:lang w:val="en-CA"/>
              </w:rPr>
              <w:t>4,330,228 common shares</w:t>
            </w:r>
          </w:p>
        </w:tc>
        <w:tc>
          <w:tcPr>
            <w:tcW w:w="990" w:type="dxa"/>
          </w:tcPr>
          <w:p w14:paraId="2167B317" w14:textId="28CC55BC" w:rsidR="00EA4133" w:rsidRDefault="003371DF">
            <w:pPr>
              <w:pStyle w:val="BodyText"/>
              <w:keepNext/>
              <w:keepLines/>
              <w:rPr>
                <w:rFonts w:ascii="Arial" w:hAnsi="Arial"/>
                <w:lang w:val="en-CA"/>
              </w:rPr>
            </w:pPr>
            <w:r>
              <w:rPr>
                <w:rFonts w:ascii="Arial" w:hAnsi="Arial"/>
                <w:lang w:val="en-CA"/>
              </w:rPr>
              <w:t>$0.05</w:t>
            </w:r>
          </w:p>
        </w:tc>
        <w:tc>
          <w:tcPr>
            <w:tcW w:w="1440" w:type="dxa"/>
          </w:tcPr>
          <w:p w14:paraId="224E46FC" w14:textId="4B237BE5" w:rsidR="00EA4133" w:rsidRDefault="003371DF">
            <w:pPr>
              <w:pStyle w:val="BodyText"/>
              <w:keepNext/>
              <w:keepLines/>
              <w:rPr>
                <w:rFonts w:ascii="Arial" w:hAnsi="Arial"/>
                <w:lang w:val="en-CA"/>
              </w:rPr>
            </w:pPr>
            <w:r>
              <w:rPr>
                <w:rFonts w:ascii="Arial" w:hAnsi="Arial"/>
                <w:lang w:val="en-CA"/>
              </w:rPr>
              <w:t>n/a</w:t>
            </w:r>
          </w:p>
        </w:tc>
        <w:tc>
          <w:tcPr>
            <w:tcW w:w="1440" w:type="dxa"/>
          </w:tcPr>
          <w:p w14:paraId="3005EBEB" w14:textId="16470047" w:rsidR="00EA4133" w:rsidRDefault="003371DF">
            <w:pPr>
              <w:pStyle w:val="BodyText"/>
              <w:keepNext/>
              <w:keepLines/>
              <w:rPr>
                <w:rFonts w:ascii="Arial" w:hAnsi="Arial"/>
                <w:lang w:val="en-CA"/>
              </w:rPr>
            </w:pPr>
            <w:r>
              <w:rPr>
                <w:rFonts w:ascii="Arial" w:hAnsi="Arial"/>
                <w:lang w:val="en-CA"/>
              </w:rPr>
              <w:t>45-106, 2.13</w:t>
            </w:r>
          </w:p>
        </w:tc>
        <w:tc>
          <w:tcPr>
            <w:tcW w:w="1620" w:type="dxa"/>
          </w:tcPr>
          <w:p w14:paraId="6E385CF3" w14:textId="77F696EC" w:rsidR="00EA4133" w:rsidRDefault="004776B9">
            <w:pPr>
              <w:pStyle w:val="BodyText"/>
              <w:keepNext/>
              <w:keepLines/>
              <w:rPr>
                <w:rFonts w:ascii="Arial" w:hAnsi="Arial"/>
                <w:lang w:val="en-CA"/>
              </w:rPr>
            </w:pPr>
            <w:r>
              <w:rPr>
                <w:rFonts w:ascii="Arial" w:hAnsi="Arial"/>
                <w:lang w:val="en-CA"/>
              </w:rPr>
              <w:t>None</w:t>
            </w:r>
          </w:p>
        </w:tc>
        <w:tc>
          <w:tcPr>
            <w:tcW w:w="1530" w:type="dxa"/>
          </w:tcPr>
          <w:p w14:paraId="0352DA88" w14:textId="11542397" w:rsidR="00EA4133" w:rsidRDefault="003371DF">
            <w:pPr>
              <w:pStyle w:val="BodyText"/>
              <w:keepNext/>
              <w:keepLines/>
              <w:rPr>
                <w:rFonts w:ascii="Arial" w:hAnsi="Arial"/>
                <w:lang w:val="en-CA"/>
              </w:rPr>
            </w:pPr>
            <w:r>
              <w:rPr>
                <w:rFonts w:ascii="Arial" w:hAnsi="Arial"/>
                <w:lang w:val="en-CA"/>
              </w:rPr>
              <w:t>Arm’s Length</w:t>
            </w:r>
          </w:p>
        </w:tc>
      </w:tr>
      <w:tr w:rsidR="00EA4133" w14:paraId="36154D5D" w14:textId="77777777" w:rsidTr="004776B9">
        <w:trPr>
          <w:trHeight w:hRule="exact" w:val="76"/>
        </w:trPr>
        <w:tc>
          <w:tcPr>
            <w:tcW w:w="1440" w:type="dxa"/>
          </w:tcPr>
          <w:p w14:paraId="49D9F86B" w14:textId="77777777" w:rsidR="00EA4133" w:rsidRDefault="00EA4133">
            <w:pPr>
              <w:pStyle w:val="BodyText"/>
              <w:keepNext/>
              <w:keepLines/>
              <w:rPr>
                <w:rFonts w:ascii="Arial" w:hAnsi="Arial"/>
                <w:lang w:val="en-CA"/>
              </w:rPr>
            </w:pPr>
          </w:p>
        </w:tc>
        <w:tc>
          <w:tcPr>
            <w:tcW w:w="1530" w:type="dxa"/>
          </w:tcPr>
          <w:p w14:paraId="4A1BEFD8" w14:textId="77777777" w:rsidR="00EA4133" w:rsidRDefault="00EA4133">
            <w:pPr>
              <w:pStyle w:val="BodyText"/>
              <w:keepNext/>
              <w:keepLines/>
              <w:rPr>
                <w:rFonts w:ascii="Arial" w:hAnsi="Arial"/>
                <w:lang w:val="en-CA"/>
              </w:rPr>
            </w:pPr>
          </w:p>
        </w:tc>
        <w:tc>
          <w:tcPr>
            <w:tcW w:w="990" w:type="dxa"/>
          </w:tcPr>
          <w:p w14:paraId="2CCD1C8B" w14:textId="77777777" w:rsidR="00EA4133" w:rsidRDefault="00EA4133">
            <w:pPr>
              <w:pStyle w:val="BodyText"/>
              <w:keepNext/>
              <w:keepLines/>
              <w:rPr>
                <w:rFonts w:ascii="Arial" w:hAnsi="Arial"/>
                <w:lang w:val="en-CA"/>
              </w:rPr>
            </w:pPr>
          </w:p>
        </w:tc>
        <w:tc>
          <w:tcPr>
            <w:tcW w:w="1440" w:type="dxa"/>
          </w:tcPr>
          <w:p w14:paraId="53CCC9A0" w14:textId="77777777" w:rsidR="00EA4133" w:rsidRDefault="00EA4133">
            <w:pPr>
              <w:pStyle w:val="BodyText"/>
              <w:keepNext/>
              <w:keepLines/>
              <w:rPr>
                <w:rFonts w:ascii="Arial" w:hAnsi="Arial"/>
                <w:lang w:val="en-CA"/>
              </w:rPr>
            </w:pPr>
          </w:p>
        </w:tc>
        <w:tc>
          <w:tcPr>
            <w:tcW w:w="1440" w:type="dxa"/>
          </w:tcPr>
          <w:p w14:paraId="725FE3C0" w14:textId="77777777" w:rsidR="00EA4133" w:rsidRDefault="00EA4133">
            <w:pPr>
              <w:pStyle w:val="BodyText"/>
              <w:keepNext/>
              <w:keepLines/>
              <w:rPr>
                <w:rFonts w:ascii="Arial" w:hAnsi="Arial"/>
                <w:lang w:val="en-CA"/>
              </w:rPr>
            </w:pPr>
          </w:p>
        </w:tc>
        <w:tc>
          <w:tcPr>
            <w:tcW w:w="1620" w:type="dxa"/>
          </w:tcPr>
          <w:p w14:paraId="63B13AC7" w14:textId="77777777" w:rsidR="00EA4133" w:rsidRDefault="00EA4133">
            <w:pPr>
              <w:pStyle w:val="BodyText"/>
              <w:keepNext/>
              <w:keepLines/>
              <w:rPr>
                <w:rFonts w:ascii="Arial" w:hAnsi="Arial"/>
                <w:lang w:val="en-CA"/>
              </w:rPr>
            </w:pPr>
          </w:p>
        </w:tc>
        <w:tc>
          <w:tcPr>
            <w:tcW w:w="1530" w:type="dxa"/>
          </w:tcPr>
          <w:p w14:paraId="2128D237" w14:textId="77777777" w:rsidR="00EA4133" w:rsidRDefault="00EA4133">
            <w:pPr>
              <w:pStyle w:val="BodyText"/>
              <w:keepNext/>
              <w:keepLines/>
              <w:rPr>
                <w:rFonts w:ascii="Arial" w:hAnsi="Arial"/>
                <w:lang w:val="en-CA"/>
              </w:rPr>
            </w:pPr>
          </w:p>
        </w:tc>
      </w:tr>
    </w:tbl>
    <w:p w14:paraId="6A45CA44"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126D789C" w14:textId="28645F82"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4776B9">
        <w:rPr>
          <w:rFonts w:ascii="Arial" w:hAnsi="Arial"/>
          <w:color w:val="000000"/>
          <w:u w:val="single"/>
        </w:rPr>
        <w:t xml:space="preserve">Review of mineral titles registry, representations, warranties and indemnity from </w:t>
      </w:r>
      <w:proofErr w:type="gramStart"/>
      <w:r w:rsidR="004776B9">
        <w:rPr>
          <w:rFonts w:ascii="Arial" w:hAnsi="Arial"/>
          <w:color w:val="000000"/>
          <w:u w:val="single"/>
        </w:rPr>
        <w:t>optionors</w:t>
      </w:r>
      <w:proofErr w:type="gramEnd"/>
      <w:r>
        <w:rPr>
          <w:rFonts w:ascii="Arial" w:hAnsi="Arial"/>
          <w:color w:val="000000"/>
          <w:u w:val="single"/>
        </w:rPr>
        <w:tab/>
      </w:r>
    </w:p>
    <w:p w14:paraId="0CB8AD5A"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23DEFD69"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3CAC62F6" w14:textId="07293F94"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w:t>
      </w:r>
      <w:proofErr w:type="gramStart"/>
      <w:r>
        <w:rPr>
          <w:rFonts w:ascii="Arial" w:hAnsi="Arial"/>
        </w:rPr>
        <w:t>broker</w:t>
      </w:r>
      <w:proofErr w:type="gramEnd"/>
      <w:r>
        <w:rPr>
          <w:rFonts w:ascii="Arial" w:hAnsi="Arial"/>
        </w:rPr>
        <w:t xml:space="preserve"> or other person receiving compensation in connection with the acquisition (name, </w:t>
      </w:r>
      <w:r w:rsidR="007C4F86">
        <w:rPr>
          <w:rFonts w:ascii="Arial" w:hAnsi="Arial"/>
        </w:rPr>
        <w:t>and</w:t>
      </w:r>
      <w:r w:rsidR="004776B9">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sidR="004776B9">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3C5D4B96"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622999A0"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70F76AAF"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5EC4BA6D"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3C30D55E"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2EA624BB"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lastRenderedPageBreak/>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36DBD8B9" w14:textId="67098B88"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4776B9" w:rsidRPr="004776B9">
        <w:rPr>
          <w:rFonts w:ascii="Arial" w:hAnsi="Arial"/>
          <w:color w:val="000000"/>
          <w:u w:val="single"/>
        </w:rPr>
        <w:t>N/A</w:t>
      </w:r>
      <w:r>
        <w:rPr>
          <w:rFonts w:ascii="Arial" w:hAnsi="Arial"/>
          <w:color w:val="000000"/>
          <w:u w:val="single"/>
        </w:rPr>
        <w:tab/>
      </w:r>
    </w:p>
    <w:p w14:paraId="2B16134A"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08EECECF"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647AD808" w14:textId="77777777" w:rsidR="005879EC" w:rsidRDefault="005879EC">
      <w:pPr>
        <w:rPr>
          <w:rFonts w:ascii="Arial" w:hAnsi="Arial"/>
          <w:b/>
          <w:sz w:val="24"/>
          <w:lang w:val="en-GB"/>
        </w:rPr>
      </w:pPr>
      <w:r>
        <w:rPr>
          <w:rFonts w:ascii="Arial" w:hAnsi="Arial"/>
          <w:b/>
        </w:rPr>
        <w:br w:type="page"/>
      </w:r>
    </w:p>
    <w:p w14:paraId="4C809545" w14:textId="7F72718B" w:rsidR="00EA4133" w:rsidRDefault="00EA4133">
      <w:pPr>
        <w:pStyle w:val="List"/>
        <w:tabs>
          <w:tab w:val="left" w:pos="1080"/>
        </w:tabs>
        <w:ind w:left="0" w:firstLine="0"/>
        <w:rPr>
          <w:rFonts w:ascii="Arial" w:hAnsi="Arial"/>
        </w:rPr>
      </w:pPr>
      <w:r>
        <w:rPr>
          <w:rFonts w:ascii="Arial" w:hAnsi="Arial"/>
          <w:b/>
        </w:rPr>
        <w:lastRenderedPageBreak/>
        <w:t>Certificate Of Compliance</w:t>
      </w:r>
    </w:p>
    <w:p w14:paraId="7BEB4923" w14:textId="77777777" w:rsidR="00EA4133" w:rsidRDefault="00EA4133">
      <w:pPr>
        <w:pStyle w:val="BodyText"/>
        <w:rPr>
          <w:rFonts w:ascii="Arial" w:hAnsi="Arial"/>
        </w:rPr>
      </w:pPr>
      <w:r>
        <w:rPr>
          <w:rFonts w:ascii="Arial" w:hAnsi="Arial"/>
        </w:rPr>
        <w:t>The undersigned hereby certifies that:</w:t>
      </w:r>
    </w:p>
    <w:p w14:paraId="0C61B216"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AF9BEE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512A80D2"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669CE502" w14:textId="77777777" w:rsidR="00C500F0" w:rsidRPr="00C500F0" w:rsidRDefault="00C500F0" w:rsidP="00C500F0">
      <w:pPr>
        <w:pStyle w:val="ListParagraph"/>
        <w:rPr>
          <w:rFonts w:ascii="Arial" w:hAnsi="Arial" w:cs="Arial"/>
          <w:sz w:val="24"/>
          <w:szCs w:val="24"/>
        </w:rPr>
      </w:pPr>
    </w:p>
    <w:p w14:paraId="2C0A6D12"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707223C"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57B91157"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71DB23A0"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7EF295FA" w14:textId="338030D9"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244258" w:rsidRPr="00244258">
        <w:rPr>
          <w:rFonts w:ascii="Arial" w:hAnsi="Arial"/>
          <w:u w:val="single"/>
        </w:rPr>
        <w:t xml:space="preserve">29 </w:t>
      </w:r>
      <w:proofErr w:type="gramStart"/>
      <w:r w:rsidR="00244258" w:rsidRPr="00244258">
        <w:rPr>
          <w:rFonts w:ascii="Arial" w:hAnsi="Arial"/>
          <w:u w:val="single"/>
        </w:rPr>
        <w:t>April,</w:t>
      </w:r>
      <w:proofErr w:type="gramEnd"/>
      <w:r w:rsidR="00244258" w:rsidRPr="00244258">
        <w:rPr>
          <w:rFonts w:ascii="Arial" w:hAnsi="Arial"/>
          <w:u w:val="single"/>
        </w:rPr>
        <w:t xml:space="preserve"> 2024</w:t>
      </w:r>
      <w:r>
        <w:rPr>
          <w:rFonts w:ascii="Arial" w:hAnsi="Arial"/>
        </w:rPr>
        <w:t>.</w:t>
      </w:r>
    </w:p>
    <w:p w14:paraId="3B70848B" w14:textId="38EBE616" w:rsidR="00EA4133" w:rsidRDefault="00EA4133">
      <w:pPr>
        <w:pStyle w:val="List"/>
        <w:tabs>
          <w:tab w:val="left" w:pos="9180"/>
        </w:tabs>
        <w:ind w:left="5760" w:hanging="5760"/>
        <w:rPr>
          <w:rFonts w:ascii="Arial" w:hAnsi="Arial"/>
        </w:rPr>
      </w:pPr>
      <w:r>
        <w:rPr>
          <w:rFonts w:ascii="Arial" w:hAnsi="Arial"/>
        </w:rPr>
        <w:tab/>
      </w:r>
      <w:r w:rsidR="00244258" w:rsidRPr="00244258">
        <w:rPr>
          <w:rFonts w:ascii="Arial" w:hAnsi="Arial"/>
          <w:u w:val="single"/>
        </w:rPr>
        <w:t>Charles Desjardins</w:t>
      </w:r>
      <w:r>
        <w:rPr>
          <w:rFonts w:ascii="Arial" w:hAnsi="Arial"/>
          <w:u w:val="single"/>
        </w:rPr>
        <w:br/>
      </w:r>
      <w:r>
        <w:rPr>
          <w:rFonts w:ascii="Arial" w:hAnsi="Arial"/>
        </w:rPr>
        <w:t>Name of Director or Senior Officer</w:t>
      </w:r>
    </w:p>
    <w:p w14:paraId="6699918D" w14:textId="631C5882" w:rsidR="00EA4133" w:rsidRPr="00244258" w:rsidRDefault="00EA4133">
      <w:pPr>
        <w:pStyle w:val="List"/>
        <w:tabs>
          <w:tab w:val="left" w:pos="9180"/>
          <w:tab w:val="left" w:pos="9360"/>
        </w:tabs>
        <w:ind w:left="5760" w:hanging="5760"/>
        <w:rPr>
          <w:rFonts w:ascii="Arial" w:hAnsi="Arial"/>
          <w:lang w:val="fr-FR"/>
        </w:rPr>
      </w:pPr>
      <w:r>
        <w:rPr>
          <w:rFonts w:ascii="Arial" w:hAnsi="Arial"/>
        </w:rPr>
        <w:tab/>
      </w:r>
      <w:r w:rsidR="00244258" w:rsidRPr="00244258">
        <w:rPr>
          <w:rFonts w:ascii="Arial" w:hAnsi="Arial"/>
          <w:i/>
          <w:iCs/>
          <w:u w:val="single"/>
          <w:lang w:val="fr-FR"/>
        </w:rPr>
        <w:t>“Charles Desjardins”</w:t>
      </w:r>
      <w:r w:rsidRPr="00244258">
        <w:rPr>
          <w:rFonts w:ascii="Arial" w:hAnsi="Arial"/>
          <w:u w:val="single"/>
          <w:lang w:val="fr-FR"/>
        </w:rPr>
        <w:tab/>
      </w:r>
      <w:r w:rsidRPr="00244258">
        <w:rPr>
          <w:rFonts w:ascii="Arial" w:hAnsi="Arial"/>
          <w:lang w:val="fr-FR"/>
        </w:rPr>
        <w:br/>
        <w:t>Signature</w:t>
      </w:r>
    </w:p>
    <w:p w14:paraId="2C71ABE2" w14:textId="10150EA7" w:rsidR="00EA4133" w:rsidRPr="00244258" w:rsidRDefault="00EA4133">
      <w:pPr>
        <w:pStyle w:val="List"/>
        <w:tabs>
          <w:tab w:val="left" w:pos="9180"/>
          <w:tab w:val="left" w:pos="9360"/>
        </w:tabs>
        <w:ind w:left="5760" w:hanging="5760"/>
        <w:rPr>
          <w:rFonts w:ascii="Arial" w:hAnsi="Arial"/>
          <w:lang w:val="fr-FR"/>
        </w:rPr>
      </w:pPr>
      <w:r w:rsidRPr="00244258">
        <w:rPr>
          <w:rFonts w:ascii="Arial" w:hAnsi="Arial"/>
          <w:lang w:val="fr-FR"/>
        </w:rPr>
        <w:tab/>
      </w:r>
      <w:r w:rsidR="00244258" w:rsidRPr="00244258">
        <w:rPr>
          <w:rFonts w:ascii="Arial" w:hAnsi="Arial"/>
          <w:u w:val="single"/>
          <w:lang w:val="fr-FR"/>
        </w:rPr>
        <w:t>CEO, Pre</w:t>
      </w:r>
      <w:proofErr w:type="spellStart"/>
      <w:r w:rsidR="00244258" w:rsidRPr="00244258">
        <w:rPr>
          <w:rFonts w:ascii="Arial" w:hAnsi="Arial"/>
          <w:u w:val="single"/>
          <w:lang w:val="fr-FR"/>
        </w:rPr>
        <w:t>sident</w:t>
      </w:r>
      <w:proofErr w:type="spellEnd"/>
      <w:r w:rsidRPr="00244258">
        <w:rPr>
          <w:rFonts w:ascii="Arial" w:hAnsi="Arial"/>
          <w:u w:val="single"/>
          <w:lang w:val="fr-FR"/>
        </w:rPr>
        <w:tab/>
      </w:r>
      <w:r w:rsidRPr="00244258">
        <w:rPr>
          <w:rFonts w:ascii="Arial" w:hAnsi="Arial"/>
          <w:lang w:val="fr-FR"/>
        </w:rPr>
        <w:br/>
        <w:t xml:space="preserve">Official </w:t>
      </w:r>
      <w:proofErr w:type="spellStart"/>
      <w:r w:rsidRPr="00244258">
        <w:rPr>
          <w:rFonts w:ascii="Arial" w:hAnsi="Arial"/>
          <w:lang w:val="fr-FR"/>
        </w:rPr>
        <w:t>Capacity</w:t>
      </w:r>
      <w:proofErr w:type="spellEnd"/>
    </w:p>
    <w:p w14:paraId="1FDBD8E4" w14:textId="77777777" w:rsidR="00C500F0" w:rsidRPr="00244258" w:rsidRDefault="00C500F0">
      <w:pPr>
        <w:pStyle w:val="List"/>
        <w:tabs>
          <w:tab w:val="left" w:pos="9180"/>
          <w:tab w:val="left" w:pos="9360"/>
        </w:tabs>
        <w:ind w:left="5760" w:hanging="5760"/>
        <w:rPr>
          <w:rFonts w:ascii="Arial" w:hAnsi="Arial"/>
          <w:lang w:val="fr-FR"/>
        </w:rPr>
      </w:pPr>
    </w:p>
    <w:p w14:paraId="501C69DC" w14:textId="77777777" w:rsidR="00C500F0" w:rsidRPr="00244258" w:rsidRDefault="00C500F0">
      <w:pPr>
        <w:pStyle w:val="List"/>
        <w:tabs>
          <w:tab w:val="left" w:pos="9180"/>
          <w:tab w:val="left" w:pos="9360"/>
        </w:tabs>
        <w:ind w:left="5760" w:hanging="5760"/>
        <w:rPr>
          <w:rFonts w:ascii="Arial" w:hAnsi="Arial"/>
          <w:lang w:val="fr-FR"/>
        </w:rPr>
      </w:pPr>
    </w:p>
    <w:p w14:paraId="7923C337" w14:textId="77777777" w:rsidR="005879EC" w:rsidRPr="00244258" w:rsidRDefault="005879EC">
      <w:pPr>
        <w:rPr>
          <w:rFonts w:ascii="Arial" w:eastAsia="Calibri" w:hAnsi="Arial" w:cs="Arial"/>
          <w:b/>
          <w:sz w:val="24"/>
          <w:szCs w:val="24"/>
          <w:lang w:val="fr-FR"/>
        </w:rPr>
      </w:pPr>
      <w:r w:rsidRPr="00244258">
        <w:rPr>
          <w:rFonts w:ascii="Arial" w:eastAsia="Calibri" w:hAnsi="Arial" w:cs="Arial"/>
          <w:b/>
          <w:sz w:val="24"/>
          <w:szCs w:val="24"/>
          <w:lang w:val="fr-FR"/>
        </w:rPr>
        <w:br w:type="page"/>
      </w:r>
    </w:p>
    <w:p w14:paraId="6D15FE40" w14:textId="5942F7A8"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7FC7DB93"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313FA03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Canadian Securities Exchange and its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(collectively, “CSE or the “Exchange”) collect and use the information (which may include personal or other information) which has been provided in Form 9 for the following purposes:</w:t>
      </w:r>
    </w:p>
    <w:p w14:paraId="70F1798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7ACF0D7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7443C89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67745F7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7680359E"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2F95EE3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25E0FC6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4340441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The Exchange may disclose personal information to these entities or otherwise as provided by law and they may use it for their own investigations.</w:t>
      </w:r>
    </w:p>
    <w:p w14:paraId="1380776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42707BFC"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w:t>
      </w:r>
      <w:proofErr w:type="gramStart"/>
      <w:r w:rsidRPr="00C500F0">
        <w:rPr>
          <w:rFonts w:ascii="Arial" w:eastAsia="Calibri" w:hAnsi="Arial" w:cs="Arial"/>
          <w:sz w:val="24"/>
          <w:szCs w:val="24"/>
        </w:rPr>
        <w:t>keep the information confidential at all times</w:t>
      </w:r>
      <w:proofErr w:type="gramEnd"/>
      <w:r w:rsidRPr="00C500F0">
        <w:rPr>
          <w:rFonts w:ascii="Arial" w:eastAsia="Calibri" w:hAnsi="Arial" w:cs="Arial"/>
          <w:sz w:val="24"/>
          <w:szCs w:val="24"/>
        </w:rPr>
        <w:t>.</w:t>
      </w:r>
    </w:p>
    <w:p w14:paraId="705151C7"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7ABB3A5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BB965E1"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9A1593">
      <w:footerReference w:type="even" r:id="rId8"/>
      <w:footerReference w:type="default" r:id="rId9"/>
      <w:footerReference w:type="first" r:id="rId10"/>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98E684" w14:textId="77777777" w:rsidR="009A1593" w:rsidRDefault="009A1593">
      <w:r>
        <w:separator/>
      </w:r>
    </w:p>
  </w:endnote>
  <w:endnote w:type="continuationSeparator" w:id="0">
    <w:p w14:paraId="5BF759BA" w14:textId="77777777" w:rsidR="009A1593" w:rsidRDefault="009A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84D64" w14:textId="03908E0D" w:rsidR="004776B9" w:rsidRDefault="004776B9" w:rsidP="004776B9">
    <w:pPr>
      <w:pStyle w:val="Footer"/>
    </w:pPr>
    <w:r>
      <w:rPr>
        <w:sz w:val="16"/>
      </w:rPr>
      <w:fldChar w:fldCharType="begin"/>
    </w:r>
    <w:r>
      <w:rPr>
        <w:sz w:val="16"/>
      </w:rPr>
      <w:instrText xml:space="preserve"> DOCPROPERTY DMSDocID </w:instrText>
    </w:r>
    <w:r>
      <w:rPr>
        <w:sz w:val="16"/>
      </w:rPr>
      <w:fldChar w:fldCharType="separate"/>
    </w:r>
    <w:r w:rsidR="00F650A9">
      <w:rPr>
        <w:sz w:val="16"/>
      </w:rPr>
      <w:t>14164445.1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BE88C" w14:textId="69FFE089" w:rsidR="00EA4133" w:rsidRDefault="004776B9" w:rsidP="004776B9">
    <w:pPr>
      <w:tabs>
        <w:tab w:val="center" w:pos="4674"/>
        <w:tab w:val="left" w:pos="8460"/>
      </w:tabs>
      <w:rPr>
        <w:rStyle w:val="PageNumber"/>
        <w:rFonts w:ascii="Arial" w:hAnsi="Arial" w:cs="Arial"/>
        <w:b/>
      </w:rPr>
    </w:pPr>
    <w:r>
      <w:rPr>
        <w:rFonts w:ascii="Arial" w:hAnsi="Arial" w:cs="Arial"/>
        <w:sz w:val="16"/>
      </w:rPr>
      <w:fldChar w:fldCharType="begin"/>
    </w:r>
    <w:r>
      <w:rPr>
        <w:rFonts w:ascii="Arial" w:hAnsi="Arial" w:cs="Arial"/>
        <w:sz w:val="16"/>
      </w:rPr>
      <w:instrText xml:space="preserve"> DOCPROPERTY DMSDocID </w:instrText>
    </w:r>
    <w:r>
      <w:rPr>
        <w:rFonts w:ascii="Arial" w:hAnsi="Arial" w:cs="Arial"/>
        <w:sz w:val="16"/>
      </w:rPr>
      <w:fldChar w:fldCharType="separate"/>
    </w:r>
    <w:r w:rsidR="00F650A9">
      <w:rPr>
        <w:rFonts w:ascii="Arial" w:hAnsi="Arial" w:cs="Arial"/>
        <w:sz w:val="16"/>
      </w:rPr>
      <w:t>14164445.1</w:t>
    </w:r>
    <w:r>
      <w:rPr>
        <w:rFonts w:ascii="Arial" w:hAnsi="Arial" w:cs="Arial"/>
        <w:sz w:val="16"/>
      </w:rPr>
      <w:fldChar w:fldCharType="end"/>
    </w:r>
    <w:r>
      <w:rPr>
        <w:rFonts w:ascii="Arial" w:hAnsi="Arial" w:cs="Arial"/>
        <w:b/>
      </w:rPr>
      <w:ptab w:relativeTo="margin" w:alignment="center" w:leader="none"/>
    </w:r>
    <w:r w:rsidR="005B2563">
      <w:rPr>
        <w:b/>
        <w:noProof/>
      </w:rPr>
      <mc:AlternateContent>
        <mc:Choice Requires="wps">
          <w:drawing>
            <wp:anchor distT="4294967295" distB="4294967295" distL="114300" distR="114300" simplePos="0" relativeHeight="251657728" behindDoc="0" locked="0" layoutInCell="1" allowOverlap="1" wp14:anchorId="192348AD" wp14:editId="238EBAA0">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D86D3"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79E4FA01"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6057EC93" w14:textId="3319DB06" w:rsidR="00EA4133" w:rsidRDefault="004C35B2"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 2023</w:t>
    </w:r>
  </w:p>
  <w:p w14:paraId="281BB91E" w14:textId="6CC324A3"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7577DF">
      <w:rPr>
        <w:rStyle w:val="PageNumber"/>
        <w:rFonts w:ascii="Arial" w:hAnsi="Arial" w:cs="Arial"/>
        <w:noProof/>
        <w:sz w:val="16"/>
        <w:szCs w:val="16"/>
      </w:rPr>
      <w:t>8</w:t>
    </w:r>
    <w:r w:rsidR="000C7CEC" w:rsidRPr="002557FD">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726EC" w14:textId="2249F712" w:rsidR="004776B9" w:rsidRDefault="004776B9" w:rsidP="004776B9">
    <w:pPr>
      <w:pStyle w:val="Footer"/>
    </w:pPr>
    <w:r>
      <w:rPr>
        <w:sz w:val="16"/>
      </w:rPr>
      <w:fldChar w:fldCharType="begin"/>
    </w:r>
    <w:r>
      <w:rPr>
        <w:sz w:val="16"/>
      </w:rPr>
      <w:instrText xml:space="preserve"> DOCPROPERTY DMSDocID </w:instrText>
    </w:r>
    <w:r>
      <w:rPr>
        <w:sz w:val="16"/>
      </w:rPr>
      <w:fldChar w:fldCharType="separate"/>
    </w:r>
    <w:r w:rsidR="00F650A9">
      <w:rPr>
        <w:sz w:val="16"/>
      </w:rPr>
      <w:t>14164445.1</w:t>
    </w:r>
    <w:r>
      <w:rPr>
        <w:sz w:val="16"/>
      </w:rPr>
      <w:fldChar w:fldCharType="end"/>
    </w:r>
  </w:p>
  <w:p w14:paraId="7C2DA7E0" w14:textId="38093085" w:rsidR="00EA4133" w:rsidRDefault="00000000">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C172F4" w14:textId="77777777" w:rsidR="009A1593" w:rsidRDefault="009A1593">
      <w:r>
        <w:separator/>
      </w:r>
    </w:p>
  </w:footnote>
  <w:footnote w:type="continuationSeparator" w:id="0">
    <w:p w14:paraId="63606BD9" w14:textId="77777777" w:rsidR="009A1593" w:rsidRDefault="009A1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1595433637">
    <w:abstractNumId w:val="2"/>
  </w:num>
  <w:num w:numId="2" w16cid:durableId="478964124">
    <w:abstractNumId w:val="12"/>
  </w:num>
  <w:num w:numId="3" w16cid:durableId="2090541813">
    <w:abstractNumId w:val="9"/>
  </w:num>
  <w:num w:numId="4" w16cid:durableId="1277323638">
    <w:abstractNumId w:val="13"/>
  </w:num>
  <w:num w:numId="5" w16cid:durableId="998506591">
    <w:abstractNumId w:val="11"/>
  </w:num>
  <w:num w:numId="6" w16cid:durableId="1252162810">
    <w:abstractNumId w:val="0"/>
  </w:num>
  <w:num w:numId="7" w16cid:durableId="1361665267">
    <w:abstractNumId w:val="10"/>
  </w:num>
  <w:num w:numId="8" w16cid:durableId="824204267">
    <w:abstractNumId w:val="5"/>
  </w:num>
  <w:num w:numId="9" w16cid:durableId="992224515">
    <w:abstractNumId w:val="7"/>
  </w:num>
  <w:num w:numId="10" w16cid:durableId="1054046359">
    <w:abstractNumId w:val="4"/>
  </w:num>
  <w:num w:numId="11" w16cid:durableId="280916238">
    <w:abstractNumId w:val="14"/>
  </w:num>
  <w:num w:numId="12" w16cid:durableId="223638419">
    <w:abstractNumId w:val="17"/>
  </w:num>
  <w:num w:numId="13" w16cid:durableId="544679664">
    <w:abstractNumId w:val="3"/>
  </w:num>
  <w:num w:numId="14" w16cid:durableId="881551520">
    <w:abstractNumId w:val="8"/>
  </w:num>
  <w:num w:numId="15" w16cid:durableId="942345126">
    <w:abstractNumId w:val="1"/>
  </w:num>
  <w:num w:numId="16" w16cid:durableId="77791941">
    <w:abstractNumId w:val="15"/>
  </w:num>
  <w:num w:numId="17" w16cid:durableId="1335256585">
    <w:abstractNumId w:val="6"/>
  </w:num>
  <w:num w:numId="18" w16cid:durableId="1894193851">
    <w:abstractNumId w:val="16"/>
  </w:num>
  <w:num w:numId="19" w16cid:durableId="1167403261">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B3"/>
    <w:rsid w:val="00003125"/>
    <w:rsid w:val="0001060A"/>
    <w:rsid w:val="000209D2"/>
    <w:rsid w:val="000561B6"/>
    <w:rsid w:val="0006492D"/>
    <w:rsid w:val="000B64EF"/>
    <w:rsid w:val="000C7CEC"/>
    <w:rsid w:val="00116314"/>
    <w:rsid w:val="0012089E"/>
    <w:rsid w:val="00122D6D"/>
    <w:rsid w:val="00152B4E"/>
    <w:rsid w:val="00173F0B"/>
    <w:rsid w:val="00186DA5"/>
    <w:rsid w:val="00241926"/>
    <w:rsid w:val="00244258"/>
    <w:rsid w:val="002557FD"/>
    <w:rsid w:val="002560F1"/>
    <w:rsid w:val="0027045E"/>
    <w:rsid w:val="0027701F"/>
    <w:rsid w:val="002777C6"/>
    <w:rsid w:val="002B1174"/>
    <w:rsid w:val="002F0416"/>
    <w:rsid w:val="00305EB6"/>
    <w:rsid w:val="00326D55"/>
    <w:rsid w:val="003371DF"/>
    <w:rsid w:val="003431FD"/>
    <w:rsid w:val="0035331C"/>
    <w:rsid w:val="00366991"/>
    <w:rsid w:val="003C6D7E"/>
    <w:rsid w:val="003F3683"/>
    <w:rsid w:val="00414BC8"/>
    <w:rsid w:val="00456624"/>
    <w:rsid w:val="00467615"/>
    <w:rsid w:val="00467D7E"/>
    <w:rsid w:val="004776B9"/>
    <w:rsid w:val="00483E6B"/>
    <w:rsid w:val="004A1403"/>
    <w:rsid w:val="004B214D"/>
    <w:rsid w:val="004C35B2"/>
    <w:rsid w:val="00521319"/>
    <w:rsid w:val="005215BB"/>
    <w:rsid w:val="00544BCF"/>
    <w:rsid w:val="005879EC"/>
    <w:rsid w:val="00590B7C"/>
    <w:rsid w:val="005B2563"/>
    <w:rsid w:val="00601241"/>
    <w:rsid w:val="00606939"/>
    <w:rsid w:val="00617A0E"/>
    <w:rsid w:val="0062717F"/>
    <w:rsid w:val="0064090F"/>
    <w:rsid w:val="006440A4"/>
    <w:rsid w:val="00692E1E"/>
    <w:rsid w:val="007568B3"/>
    <w:rsid w:val="007577DF"/>
    <w:rsid w:val="007B0425"/>
    <w:rsid w:val="007B667E"/>
    <w:rsid w:val="007C4F86"/>
    <w:rsid w:val="007E3430"/>
    <w:rsid w:val="008003B9"/>
    <w:rsid w:val="00801A1A"/>
    <w:rsid w:val="00821E60"/>
    <w:rsid w:val="00840B45"/>
    <w:rsid w:val="008727BB"/>
    <w:rsid w:val="00884056"/>
    <w:rsid w:val="008F27FF"/>
    <w:rsid w:val="008F4C45"/>
    <w:rsid w:val="009136E7"/>
    <w:rsid w:val="009466F0"/>
    <w:rsid w:val="00951528"/>
    <w:rsid w:val="0097763E"/>
    <w:rsid w:val="009846AF"/>
    <w:rsid w:val="009A1593"/>
    <w:rsid w:val="009C1EC2"/>
    <w:rsid w:val="009E46EC"/>
    <w:rsid w:val="00A00C54"/>
    <w:rsid w:val="00A03695"/>
    <w:rsid w:val="00A10285"/>
    <w:rsid w:val="00A6085F"/>
    <w:rsid w:val="00A90670"/>
    <w:rsid w:val="00A93530"/>
    <w:rsid w:val="00A9392C"/>
    <w:rsid w:val="00B81473"/>
    <w:rsid w:val="00B90847"/>
    <w:rsid w:val="00B923F6"/>
    <w:rsid w:val="00BC7276"/>
    <w:rsid w:val="00BE2894"/>
    <w:rsid w:val="00C024CC"/>
    <w:rsid w:val="00C10A32"/>
    <w:rsid w:val="00C500F0"/>
    <w:rsid w:val="00C536D3"/>
    <w:rsid w:val="00CA2077"/>
    <w:rsid w:val="00CB791C"/>
    <w:rsid w:val="00CC2519"/>
    <w:rsid w:val="00CF076A"/>
    <w:rsid w:val="00CF2A90"/>
    <w:rsid w:val="00CF5580"/>
    <w:rsid w:val="00CF72A4"/>
    <w:rsid w:val="00DA6830"/>
    <w:rsid w:val="00DB17C3"/>
    <w:rsid w:val="00DB6156"/>
    <w:rsid w:val="00DB640C"/>
    <w:rsid w:val="00E55E58"/>
    <w:rsid w:val="00E57E84"/>
    <w:rsid w:val="00E83A64"/>
    <w:rsid w:val="00E97C13"/>
    <w:rsid w:val="00EA4133"/>
    <w:rsid w:val="00EF6F2B"/>
    <w:rsid w:val="00F0645C"/>
    <w:rsid w:val="00F33BBE"/>
    <w:rsid w:val="00F650A9"/>
    <w:rsid w:val="00FC0A23"/>
    <w:rsid w:val="00FF41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7E6C7"/>
  <w15:docId w15:val="{6D25E14C-F071-4A2F-8A76-89B376AE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styleId="Revision">
    <w:name w:val="Revision"/>
    <w:hidden/>
    <w:uiPriority w:val="99"/>
    <w:semiHidden/>
    <w:rsid w:val="00B90847"/>
  </w:style>
  <w:style w:type="character" w:styleId="CommentReference">
    <w:name w:val="annotation reference"/>
    <w:basedOn w:val="DefaultParagraphFont"/>
    <w:uiPriority w:val="99"/>
    <w:semiHidden/>
    <w:unhideWhenUsed/>
    <w:rsid w:val="005B2563"/>
    <w:rPr>
      <w:sz w:val="16"/>
      <w:szCs w:val="16"/>
    </w:rPr>
  </w:style>
  <w:style w:type="paragraph" w:styleId="CommentText">
    <w:name w:val="annotation text"/>
    <w:basedOn w:val="Normal"/>
    <w:link w:val="CommentTextChar"/>
    <w:uiPriority w:val="99"/>
    <w:unhideWhenUsed/>
    <w:rsid w:val="005B2563"/>
  </w:style>
  <w:style w:type="character" w:customStyle="1" w:styleId="CommentTextChar">
    <w:name w:val="Comment Text Char"/>
    <w:basedOn w:val="DefaultParagraphFont"/>
    <w:link w:val="CommentText"/>
    <w:uiPriority w:val="99"/>
    <w:rsid w:val="005B2563"/>
  </w:style>
  <w:style w:type="paragraph" w:styleId="CommentSubject">
    <w:name w:val="annotation subject"/>
    <w:basedOn w:val="CommentText"/>
    <w:next w:val="CommentText"/>
    <w:link w:val="CommentSubjectChar"/>
    <w:uiPriority w:val="99"/>
    <w:semiHidden/>
    <w:unhideWhenUsed/>
    <w:rsid w:val="005B2563"/>
    <w:rPr>
      <w:b/>
      <w:bCs/>
    </w:rPr>
  </w:style>
  <w:style w:type="character" w:customStyle="1" w:styleId="CommentSubjectChar">
    <w:name w:val="Comment Subject Char"/>
    <w:basedOn w:val="CommentTextChar"/>
    <w:link w:val="CommentSubject"/>
    <w:uiPriority w:val="99"/>
    <w:semiHidden/>
    <w:rsid w:val="005B2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Misc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Miscdoc</Template>
  <TotalTime>6</TotalTime>
  <Pages>11</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Dave Bissoondatt</cp:lastModifiedBy>
  <cp:revision>5</cp:revision>
  <cp:lastPrinted>2004-05-20T20:47:00Z</cp:lastPrinted>
  <dcterms:created xsi:type="dcterms:W3CDTF">2024-04-29T20:43:00Z</dcterms:created>
  <dcterms:modified xsi:type="dcterms:W3CDTF">2024-04-29T22:27:00Z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y fmtid="{D5CDD505-2E9C-101B-9397-08002B2CF9AE}" pid="4" name="DMSOffVersion">
    <vt:lpwstr>1</vt:lpwstr>
  </property>
  <property fmtid="{D5CDD505-2E9C-101B-9397-08002B2CF9AE}" pid="5" name="DMSAuthor">
    <vt:lpwstr>BDB</vt:lpwstr>
  </property>
  <property fmtid="{D5CDD505-2E9C-101B-9397-08002B2CF9AE}" pid="6" name="DMSClient">
    <vt:lpwstr>54676</vt:lpwstr>
  </property>
  <property fmtid="{D5CDD505-2E9C-101B-9397-08002B2CF9AE}" pid="7" name="DMSCrossRef">
    <vt:lpwstr> </vt:lpwstr>
  </property>
  <property fmtid="{D5CDD505-2E9C-101B-9397-08002B2CF9AE}" pid="8" name="DMSLibrary">
    <vt:lpwstr>active</vt:lpwstr>
  </property>
  <property fmtid="{D5CDD505-2E9C-101B-9397-08002B2CF9AE}" pid="9" name="DMSDocDesc">
    <vt:lpwstr>ISP CSE Form 9 - Notice of Issuance of Securities (Atha) - final</vt:lpwstr>
  </property>
  <property fmtid="{D5CDD505-2E9C-101B-9397-08002B2CF9AE}" pid="10" name="DMSDocID">
    <vt:lpwstr>14164445.1</vt:lpwstr>
  </property>
  <property fmtid="{D5CDD505-2E9C-101B-9397-08002B2CF9AE}" pid="11" name="DMSDocNumber">
    <vt:lpwstr>14164445</vt:lpwstr>
  </property>
  <property fmtid="{D5CDD505-2E9C-101B-9397-08002B2CF9AE}" pid="12" name="DMSDocType">
    <vt:lpwstr>DOC</vt:lpwstr>
  </property>
  <property fmtid="{D5CDD505-2E9C-101B-9397-08002B2CF9AE}" pid="13" name="DMSFileNum">
    <vt:lpwstr>54676-0002</vt:lpwstr>
  </property>
  <property fmtid="{D5CDD505-2E9C-101B-9397-08002B2CF9AE}" pid="14" name="DMSMatter">
    <vt:lpwstr>0002</vt:lpwstr>
  </property>
  <property fmtid="{D5CDD505-2E9C-101B-9397-08002B2CF9AE}" pid="15" name="DMSTypist">
    <vt:lpwstr>BDB</vt:lpwstr>
  </property>
  <property fmtid="{D5CDD505-2E9C-101B-9397-08002B2CF9AE}" pid="16" name="DMSCategory">
    <vt:lpwstr> </vt:lpwstr>
  </property>
  <property fmtid="{D5CDD505-2E9C-101B-9397-08002B2CF9AE}" pid="17" name="DMSCurrVersion">
    <vt:lpwstr>1</vt:lpwstr>
  </property>
  <property fmtid="{D5CDD505-2E9C-101B-9397-08002B2CF9AE}" pid="18" name="DMSFooterStatus22">
    <vt:lpwstr>SET</vt:lpwstr>
  </property>
  <property fmtid="{D5CDD505-2E9C-101B-9397-08002B2CF9AE}" pid="19" name="WSOrigTemplate">
    <vt:lpwstr>normal</vt:lpwstr>
  </property>
</Properties>
</file>